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F949C">
      <w:pPr>
        <w:spacing w:line="520" w:lineRule="exact"/>
        <w:jc w:val="center"/>
        <w:rPr>
          <w:rFonts w:hint="eastAsia" w:ascii="宋体" w:hAnsi="宋体" w:eastAsia="宋体" w:cs="宋体"/>
          <w:b/>
          <w:bCs/>
          <w:color w:val="auto"/>
          <w:sz w:val="52"/>
          <w:szCs w:val="52"/>
          <w:highlight w:val="none"/>
          <w:u w:val="single"/>
        </w:rPr>
      </w:pPr>
      <w:bookmarkStart w:id="0" w:name="OLE_LINK3"/>
      <w:bookmarkStart w:id="1" w:name="OLE_LINK2"/>
    </w:p>
    <w:p w14:paraId="3753871B">
      <w:pPr>
        <w:spacing w:line="360" w:lineRule="auto"/>
        <w:jc w:val="center"/>
        <w:rPr>
          <w:rFonts w:hint="eastAsia" w:ascii="宋体" w:hAnsi="宋体" w:eastAsia="宋体" w:cs="宋体"/>
          <w:b/>
          <w:bCs/>
          <w:color w:val="auto"/>
          <w:sz w:val="56"/>
          <w:szCs w:val="56"/>
          <w:highlight w:val="none"/>
        </w:rPr>
      </w:pPr>
      <w:r>
        <w:rPr>
          <w:rFonts w:hint="eastAsia" w:ascii="宋体" w:hAnsi="宋体" w:cs="宋体"/>
          <w:b/>
          <w:bCs/>
          <w:color w:val="auto"/>
          <w:sz w:val="56"/>
          <w:szCs w:val="56"/>
          <w:highlight w:val="none"/>
          <w:lang w:eastAsia="zh-CN"/>
        </w:rPr>
        <w:t>昆明鑫安道路设施维护有限公司清算报告服务项目（四次）</w:t>
      </w:r>
    </w:p>
    <w:p w14:paraId="4A390349">
      <w:pPr>
        <w:spacing w:line="520" w:lineRule="exact"/>
        <w:rPr>
          <w:rFonts w:hint="eastAsia" w:ascii="宋体" w:hAnsi="宋体" w:eastAsia="宋体" w:cs="宋体"/>
          <w:b/>
          <w:color w:val="auto"/>
          <w:sz w:val="28"/>
          <w:szCs w:val="28"/>
          <w:highlight w:val="none"/>
        </w:rPr>
      </w:pPr>
    </w:p>
    <w:p w14:paraId="2474E7A5">
      <w:pPr>
        <w:spacing w:line="520" w:lineRule="exact"/>
        <w:rPr>
          <w:rFonts w:hint="eastAsia" w:ascii="宋体" w:hAnsi="宋体" w:eastAsia="宋体" w:cs="宋体"/>
          <w:color w:val="auto"/>
          <w:szCs w:val="21"/>
          <w:highlight w:val="none"/>
        </w:rPr>
      </w:pPr>
    </w:p>
    <w:p w14:paraId="2DE365A0">
      <w:pPr>
        <w:spacing w:line="520" w:lineRule="exact"/>
        <w:rPr>
          <w:rFonts w:hint="eastAsia" w:ascii="宋体" w:hAnsi="宋体" w:eastAsia="宋体" w:cs="宋体"/>
          <w:color w:val="auto"/>
          <w:szCs w:val="21"/>
          <w:highlight w:val="none"/>
        </w:rPr>
      </w:pPr>
    </w:p>
    <w:p w14:paraId="45FA0A35">
      <w:pPr>
        <w:spacing w:line="520" w:lineRule="exact"/>
        <w:rPr>
          <w:rFonts w:hint="eastAsia" w:ascii="宋体" w:hAnsi="宋体" w:eastAsia="宋体" w:cs="宋体"/>
          <w:color w:val="auto"/>
          <w:szCs w:val="21"/>
          <w:highlight w:val="none"/>
        </w:rPr>
      </w:pPr>
    </w:p>
    <w:p w14:paraId="4238593C">
      <w:pPr>
        <w:spacing w:line="520" w:lineRule="exact"/>
        <w:rPr>
          <w:rFonts w:hint="eastAsia" w:ascii="宋体" w:hAnsi="宋体" w:eastAsia="宋体" w:cs="宋体"/>
          <w:color w:val="auto"/>
          <w:szCs w:val="21"/>
          <w:highlight w:val="none"/>
        </w:rPr>
      </w:pPr>
    </w:p>
    <w:p w14:paraId="10C27D67">
      <w:pPr>
        <w:spacing w:line="520" w:lineRule="exact"/>
        <w:rPr>
          <w:rFonts w:hint="eastAsia" w:ascii="宋体" w:hAnsi="宋体" w:eastAsia="宋体" w:cs="宋体"/>
          <w:color w:val="auto"/>
          <w:szCs w:val="21"/>
          <w:highlight w:val="none"/>
        </w:rPr>
      </w:pPr>
    </w:p>
    <w:p w14:paraId="21FCDC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60"/>
          <w:szCs w:val="60"/>
          <w:highlight w:val="none"/>
        </w:rPr>
        <w:t>询价文件</w:t>
      </w:r>
    </w:p>
    <w:p w14:paraId="5BC3CBD8">
      <w:pPr>
        <w:pStyle w:val="10"/>
        <w:spacing w:after="0" w:line="520" w:lineRule="exact"/>
        <w:rPr>
          <w:rFonts w:hint="eastAsia" w:ascii="宋体" w:hAnsi="宋体" w:eastAsia="宋体" w:cs="宋体"/>
          <w:color w:val="auto"/>
          <w:highlight w:val="none"/>
        </w:rPr>
      </w:pPr>
    </w:p>
    <w:p w14:paraId="1BC64DD8">
      <w:pPr>
        <w:spacing w:line="520" w:lineRule="exact"/>
        <w:jc w:val="both"/>
        <w:rPr>
          <w:rFonts w:hint="eastAsia" w:ascii="宋体" w:hAnsi="宋体" w:eastAsia="宋体" w:cs="宋体"/>
          <w:b/>
          <w:color w:val="auto"/>
          <w:sz w:val="30"/>
          <w:szCs w:val="30"/>
          <w:highlight w:val="none"/>
          <w:lang w:eastAsia="zh-CN"/>
        </w:rPr>
      </w:pPr>
    </w:p>
    <w:bookmarkEnd w:id="0"/>
    <w:bookmarkEnd w:id="1"/>
    <w:p w14:paraId="50B17BE5">
      <w:pPr>
        <w:spacing w:line="520" w:lineRule="exact"/>
        <w:rPr>
          <w:rFonts w:hint="eastAsia" w:ascii="宋体" w:hAnsi="宋体" w:eastAsia="宋体" w:cs="宋体"/>
          <w:color w:val="auto"/>
          <w:szCs w:val="21"/>
          <w:highlight w:val="none"/>
        </w:rPr>
      </w:pPr>
    </w:p>
    <w:p w14:paraId="69175322">
      <w:pPr>
        <w:pStyle w:val="24"/>
        <w:ind w:left="0" w:leftChars="0" w:firstLine="0" w:firstLineChars="0"/>
        <w:rPr>
          <w:rFonts w:hint="eastAsia" w:ascii="宋体" w:hAnsi="宋体" w:eastAsia="宋体" w:cs="宋体"/>
          <w:color w:val="auto"/>
          <w:highlight w:val="none"/>
        </w:rPr>
      </w:pPr>
    </w:p>
    <w:p w14:paraId="62AE708A">
      <w:pPr>
        <w:spacing w:line="520" w:lineRule="exact"/>
        <w:rPr>
          <w:rFonts w:hint="eastAsia" w:ascii="宋体" w:hAnsi="宋体" w:eastAsia="宋体" w:cs="宋体"/>
          <w:color w:val="auto"/>
          <w:szCs w:val="21"/>
          <w:highlight w:val="none"/>
        </w:rPr>
      </w:pPr>
    </w:p>
    <w:p w14:paraId="30F60E32">
      <w:pPr>
        <w:spacing w:line="520" w:lineRule="exact"/>
        <w:rPr>
          <w:rFonts w:hint="eastAsia" w:ascii="宋体" w:hAnsi="宋体" w:eastAsia="宋体" w:cs="宋体"/>
          <w:color w:val="auto"/>
          <w:szCs w:val="21"/>
          <w:highlight w:val="none"/>
        </w:rPr>
      </w:pPr>
    </w:p>
    <w:p w14:paraId="747687CB">
      <w:pPr>
        <w:rPr>
          <w:rFonts w:hint="eastAsia"/>
          <w:color w:val="auto"/>
          <w:highlight w:val="none"/>
        </w:rPr>
      </w:pPr>
    </w:p>
    <w:p w14:paraId="7A8E0BF4">
      <w:pPr>
        <w:spacing w:line="520" w:lineRule="exact"/>
        <w:rPr>
          <w:rFonts w:hint="eastAsia" w:ascii="宋体" w:hAnsi="宋体" w:eastAsia="宋体" w:cs="宋体"/>
          <w:bCs/>
          <w:color w:val="auto"/>
          <w:sz w:val="30"/>
          <w:szCs w:val="30"/>
          <w:highlight w:val="none"/>
          <w:u w:val="single"/>
        </w:rPr>
      </w:pPr>
    </w:p>
    <w:p w14:paraId="7BEE4A9C">
      <w:pPr>
        <w:spacing w:line="520" w:lineRule="exact"/>
        <w:jc w:val="center"/>
        <w:rPr>
          <w:rFonts w:hint="eastAsia" w:ascii="宋体" w:hAnsi="宋体" w:eastAsia="宋体" w:cs="宋体"/>
          <w:bCs/>
          <w:color w:val="auto"/>
          <w:sz w:val="32"/>
          <w:szCs w:val="32"/>
          <w:highlight w:val="none"/>
        </w:rPr>
      </w:pPr>
    </w:p>
    <w:p w14:paraId="0562E151">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采购人：</w:t>
      </w:r>
      <w:r>
        <w:rPr>
          <w:rFonts w:hint="eastAsia" w:ascii="宋体" w:hAnsi="宋体" w:cs="宋体"/>
          <w:bCs/>
          <w:color w:val="auto"/>
          <w:sz w:val="32"/>
          <w:szCs w:val="32"/>
          <w:highlight w:val="none"/>
          <w:lang w:eastAsia="zh-CN"/>
        </w:rPr>
        <w:t>昆明安保（集团）有限责任公司</w:t>
      </w:r>
    </w:p>
    <w:p w14:paraId="1C1A0C4A">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代理机构：云南国旭建设工程招标咨询有限公司</w:t>
      </w:r>
    </w:p>
    <w:p w14:paraId="13CE3BA8">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日  期：</w:t>
      </w:r>
      <w:r>
        <w:rPr>
          <w:rFonts w:hint="eastAsia" w:ascii="宋体" w:hAnsi="宋体" w:eastAsia="宋体" w:cs="宋体"/>
          <w:bCs/>
          <w:color w:val="auto"/>
          <w:sz w:val="32"/>
          <w:szCs w:val="32"/>
          <w:highlight w:val="none"/>
          <w:u w:val="none"/>
        </w:rPr>
        <w:t>202</w:t>
      </w:r>
      <w:r>
        <w:rPr>
          <w:rFonts w:hint="eastAsia" w:ascii="宋体" w:hAnsi="宋体" w:cs="宋体"/>
          <w:bCs/>
          <w:color w:val="auto"/>
          <w:sz w:val="32"/>
          <w:szCs w:val="32"/>
          <w:highlight w:val="none"/>
          <w:u w:val="none"/>
          <w:lang w:val="en-US" w:eastAsia="zh-CN"/>
        </w:rPr>
        <w:t>5</w:t>
      </w:r>
      <w:r>
        <w:rPr>
          <w:rFonts w:hint="eastAsia" w:ascii="宋体" w:hAnsi="宋体" w:eastAsia="宋体" w:cs="宋体"/>
          <w:bCs/>
          <w:color w:val="auto"/>
          <w:sz w:val="32"/>
          <w:szCs w:val="32"/>
          <w:highlight w:val="none"/>
          <w:u w:val="none"/>
        </w:rPr>
        <w:t>年</w:t>
      </w:r>
      <w:r>
        <w:rPr>
          <w:rFonts w:hint="eastAsia" w:ascii="宋体" w:hAnsi="宋体" w:cs="宋体"/>
          <w:bCs/>
          <w:color w:val="auto"/>
          <w:sz w:val="32"/>
          <w:szCs w:val="32"/>
          <w:highlight w:val="none"/>
          <w:u w:val="none"/>
          <w:lang w:val="en-US" w:eastAsia="zh-CN"/>
        </w:rPr>
        <w:t>9</w:t>
      </w:r>
      <w:r>
        <w:rPr>
          <w:rFonts w:hint="eastAsia" w:ascii="宋体" w:hAnsi="宋体" w:eastAsia="宋体" w:cs="宋体"/>
          <w:bCs/>
          <w:color w:val="auto"/>
          <w:sz w:val="32"/>
          <w:szCs w:val="32"/>
          <w:highlight w:val="none"/>
          <w:u w:val="none"/>
          <w:lang w:val="en-US" w:eastAsia="zh-CN"/>
        </w:rPr>
        <w:t>月</w:t>
      </w:r>
    </w:p>
    <w:p w14:paraId="137141FB">
      <w:pPr>
        <w:spacing w:line="520" w:lineRule="exact"/>
        <w:jc w:val="center"/>
        <w:outlineLvl w:val="9"/>
        <w:rPr>
          <w:rFonts w:hint="eastAsia" w:ascii="宋体" w:hAnsi="宋体" w:eastAsia="宋体" w:cs="宋体"/>
          <w:color w:val="auto"/>
          <w:sz w:val="36"/>
          <w:szCs w:val="36"/>
          <w:highlight w:val="none"/>
        </w:rPr>
      </w:pPr>
      <w:bookmarkStart w:id="2" w:name="_Toc11241"/>
      <w:r>
        <w:rPr>
          <w:rFonts w:hint="eastAsia" w:ascii="宋体" w:hAnsi="宋体" w:eastAsia="宋体" w:cs="宋体"/>
          <w:color w:val="auto"/>
          <w:sz w:val="36"/>
          <w:szCs w:val="36"/>
          <w:highlight w:val="none"/>
        </w:rPr>
        <w:br w:type="page"/>
      </w:r>
      <w:bookmarkStart w:id="3" w:name="_Toc101711184"/>
      <w:bookmarkStart w:id="4" w:name="_Toc1206"/>
      <w:r>
        <w:rPr>
          <w:rFonts w:hint="eastAsia" w:ascii="宋体" w:hAnsi="宋体" w:eastAsia="宋体" w:cs="宋体"/>
          <w:color w:val="auto"/>
          <w:sz w:val="36"/>
          <w:szCs w:val="36"/>
          <w:highlight w:val="none"/>
        </w:rPr>
        <w:t>目  录</w:t>
      </w:r>
      <w:bookmarkEnd w:id="3"/>
      <w:bookmarkEnd w:id="4"/>
    </w:p>
    <w:p w14:paraId="45376946">
      <w:pPr>
        <w:pStyle w:val="17"/>
        <w:tabs>
          <w:tab w:val="right" w:leader="hyphen" w:pos="8504"/>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"1-2"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_Toc2170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6"/>
          <w:highlight w:val="none"/>
        </w:rPr>
        <w:t xml:space="preserve">第一章 </w:t>
      </w:r>
      <w:r>
        <w:rPr>
          <w:rFonts w:hint="eastAsia" w:ascii="宋体" w:hAnsi="宋体" w:eastAsia="宋体" w:cs="宋体"/>
          <w:color w:val="auto"/>
          <w:szCs w:val="36"/>
          <w:highlight w:val="none"/>
          <w:lang w:eastAsia="zh-CN"/>
        </w:rPr>
        <w:t>询价邀请书</w:t>
      </w:r>
      <w:r>
        <w:rPr>
          <w:color w:val="auto"/>
          <w:highlight w:val="none"/>
        </w:rPr>
        <w:tab/>
      </w:r>
      <w:r>
        <w:rPr>
          <w:color w:val="auto"/>
          <w:highlight w:val="none"/>
        </w:rPr>
        <w:fldChar w:fldCharType="begin"/>
      </w:r>
      <w:r>
        <w:rPr>
          <w:color w:val="auto"/>
          <w:highlight w:val="none"/>
        </w:rPr>
        <w:instrText xml:space="preserve"> PAGEREF _Toc2170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14:paraId="34B71AD0">
      <w:pPr>
        <w:pStyle w:val="17"/>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_Toc20498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6"/>
          <w:highlight w:val="none"/>
        </w:rPr>
        <w:t>第二章</w:t>
      </w:r>
      <w:r>
        <w:rPr>
          <w:rFonts w:hint="eastAsia" w:ascii="宋体" w:hAnsi="宋体" w:eastAsia="宋体" w:cs="宋体"/>
          <w:color w:val="auto"/>
          <w:szCs w:val="36"/>
          <w:highlight w:val="none"/>
          <w:lang w:val="en-US" w:eastAsia="zh-CN"/>
        </w:rPr>
        <w:t xml:space="preserve"> </w:t>
      </w:r>
      <w:r>
        <w:rPr>
          <w:rFonts w:hint="eastAsia" w:ascii="宋体" w:hAnsi="宋体" w:eastAsia="宋体" w:cs="宋体"/>
          <w:color w:val="auto"/>
          <w:szCs w:val="36"/>
          <w:highlight w:val="none"/>
        </w:rPr>
        <w:t>申请人须知</w:t>
      </w:r>
      <w:r>
        <w:rPr>
          <w:color w:val="auto"/>
          <w:highlight w:val="none"/>
        </w:rPr>
        <w:tab/>
      </w:r>
      <w:r>
        <w:rPr>
          <w:color w:val="auto"/>
          <w:highlight w:val="none"/>
        </w:rPr>
        <w:fldChar w:fldCharType="begin"/>
      </w:r>
      <w:r>
        <w:rPr>
          <w:color w:val="auto"/>
          <w:highlight w:val="none"/>
        </w:rPr>
        <w:instrText xml:space="preserve"> PAGEREF _Toc20498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79EF5C93">
      <w:pPr>
        <w:pStyle w:val="17"/>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_Toc15430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kern w:val="0"/>
          <w:szCs w:val="36"/>
          <w:highlight w:val="none"/>
          <w:lang w:val="en-US" w:eastAsia="zh-CN" w:bidi="ar-SA"/>
        </w:rPr>
        <w:t>第三章 评审办法</w:t>
      </w:r>
      <w:r>
        <w:rPr>
          <w:color w:val="auto"/>
          <w:highlight w:val="none"/>
        </w:rPr>
        <w:tab/>
      </w:r>
      <w:r>
        <w:rPr>
          <w:color w:val="auto"/>
          <w:highlight w:val="none"/>
        </w:rPr>
        <w:fldChar w:fldCharType="begin"/>
      </w:r>
      <w:r>
        <w:rPr>
          <w:color w:val="auto"/>
          <w:highlight w:val="none"/>
        </w:rPr>
        <w:instrText xml:space="preserve"> PAGEREF _Toc15430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7FACADBF">
      <w:pPr>
        <w:pStyle w:val="17"/>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_Toc17611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6"/>
          <w:highlight w:val="none"/>
        </w:rPr>
        <w:t>第四章 采购需求</w:t>
      </w:r>
      <w:r>
        <w:rPr>
          <w:color w:val="auto"/>
          <w:highlight w:val="none"/>
        </w:rPr>
        <w:tab/>
      </w:r>
      <w:r>
        <w:rPr>
          <w:color w:val="auto"/>
          <w:highlight w:val="none"/>
        </w:rPr>
        <w:fldChar w:fldCharType="begin"/>
      </w:r>
      <w:r>
        <w:rPr>
          <w:color w:val="auto"/>
          <w:highlight w:val="none"/>
        </w:rPr>
        <w:instrText xml:space="preserve"> PAGEREF _Toc17611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47A5D28D">
      <w:pPr>
        <w:pStyle w:val="17"/>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6"/>
          <w:highlight w:val="none"/>
        </w:rPr>
        <w:t>第五章 合同条款及格式</w:t>
      </w:r>
      <w:r>
        <w:rPr>
          <w:color w:val="auto"/>
          <w:highlight w:val="none"/>
        </w:rPr>
        <w:tab/>
      </w:r>
      <w:r>
        <w:rPr>
          <w:color w:val="auto"/>
          <w:highlight w:val="none"/>
        </w:rPr>
        <w:fldChar w:fldCharType="begin"/>
      </w:r>
      <w:r>
        <w:rPr>
          <w:color w:val="auto"/>
          <w:highlight w:val="none"/>
        </w:rPr>
        <w:instrText xml:space="preserve"> PAGEREF _Toc640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2AD0804A">
      <w:pPr>
        <w:pStyle w:val="17"/>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_Toc3783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6"/>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_Toc3783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74AB74F0">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_Toc12920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（一）企业证照</w:t>
      </w:r>
      <w:r>
        <w:rPr>
          <w:color w:val="auto"/>
          <w:highlight w:val="none"/>
        </w:rPr>
        <w:tab/>
      </w:r>
      <w:r>
        <w:rPr>
          <w:color w:val="auto"/>
          <w:highlight w:val="none"/>
        </w:rPr>
        <w:fldChar w:fldCharType="begin"/>
      </w:r>
      <w:r>
        <w:rPr>
          <w:color w:val="auto"/>
          <w:highlight w:val="none"/>
        </w:rPr>
        <w:instrText xml:space="preserve"> PAGEREF _Toc12920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14:paraId="596F7049">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_Toc14248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w:t>
      </w:r>
      <w:r>
        <w:rPr>
          <w:rFonts w:hint="eastAsia" w:ascii="宋体" w:hAnsi="宋体" w:eastAsia="宋体" w:cs="宋体"/>
          <w:bCs w:val="0"/>
          <w:color w:val="auto"/>
          <w:szCs w:val="30"/>
          <w:highlight w:val="none"/>
          <w:lang w:val="en-US" w:eastAsia="zh-CN"/>
        </w:rPr>
        <w:t>二</w:t>
      </w:r>
      <w:r>
        <w:rPr>
          <w:rFonts w:hint="eastAsia" w:ascii="宋体" w:hAnsi="宋体" w:eastAsia="宋体" w:cs="宋体"/>
          <w:bCs w:val="0"/>
          <w:color w:val="auto"/>
          <w:szCs w:val="30"/>
          <w:highlight w:val="none"/>
        </w:rPr>
        <w:t>）近三年类似业绩一览表</w:t>
      </w:r>
      <w:r>
        <w:rPr>
          <w:color w:val="auto"/>
          <w:highlight w:val="none"/>
        </w:rPr>
        <w:tab/>
      </w:r>
      <w:r>
        <w:rPr>
          <w:color w:val="auto"/>
          <w:highlight w:val="none"/>
        </w:rPr>
        <w:fldChar w:fldCharType="begin"/>
      </w:r>
      <w:r>
        <w:rPr>
          <w:color w:val="auto"/>
          <w:highlight w:val="none"/>
        </w:rPr>
        <w:instrText xml:space="preserve"> PAGEREF _Toc14248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1"/>
          <w:highlight w:val="none"/>
        </w:rPr>
        <w:fldChar w:fldCharType="end"/>
      </w:r>
    </w:p>
    <w:p w14:paraId="1CAA9554">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_Toc20414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w:t>
      </w:r>
      <w:r>
        <w:rPr>
          <w:rFonts w:hint="eastAsia" w:ascii="宋体" w:hAnsi="宋体" w:eastAsia="宋体" w:cs="宋体"/>
          <w:bCs w:val="0"/>
          <w:color w:val="auto"/>
          <w:szCs w:val="30"/>
          <w:highlight w:val="none"/>
          <w:lang w:val="en-US" w:eastAsia="zh-CN"/>
        </w:rPr>
        <w:t>三</w:t>
      </w:r>
      <w:r>
        <w:rPr>
          <w:rFonts w:hint="eastAsia" w:ascii="宋体" w:hAnsi="宋体" w:eastAsia="宋体" w:cs="宋体"/>
          <w:bCs w:val="0"/>
          <w:color w:val="auto"/>
          <w:szCs w:val="30"/>
          <w:highlight w:val="none"/>
        </w:rPr>
        <w:t>）财务状况表</w:t>
      </w:r>
      <w:r>
        <w:rPr>
          <w:color w:val="auto"/>
          <w:highlight w:val="none"/>
        </w:rPr>
        <w:tab/>
      </w:r>
      <w:r>
        <w:rPr>
          <w:color w:val="auto"/>
          <w:highlight w:val="none"/>
        </w:rPr>
        <w:fldChar w:fldCharType="begin"/>
      </w:r>
      <w:r>
        <w:rPr>
          <w:color w:val="auto"/>
          <w:highlight w:val="none"/>
        </w:rPr>
        <w:instrText xml:space="preserve"> PAGEREF _Toc20414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1"/>
          <w:highlight w:val="none"/>
        </w:rPr>
        <w:fldChar w:fldCharType="end"/>
      </w:r>
    </w:p>
    <w:p w14:paraId="70E130A8">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_Toc26426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w:t>
      </w:r>
      <w:r>
        <w:rPr>
          <w:rFonts w:hint="eastAsia" w:ascii="宋体" w:hAnsi="宋体" w:eastAsia="宋体" w:cs="宋体"/>
          <w:bCs w:val="0"/>
          <w:color w:val="auto"/>
          <w:szCs w:val="30"/>
          <w:highlight w:val="none"/>
          <w:lang w:val="en-US" w:eastAsia="zh-CN"/>
        </w:rPr>
        <w:t>四</w:t>
      </w:r>
      <w:r>
        <w:rPr>
          <w:rFonts w:hint="eastAsia" w:ascii="宋体" w:hAnsi="宋体" w:eastAsia="宋体" w:cs="宋体"/>
          <w:bCs w:val="0"/>
          <w:color w:val="auto"/>
          <w:szCs w:val="30"/>
          <w:highlight w:val="none"/>
        </w:rPr>
        <w:t>）企业信誉情况</w:t>
      </w:r>
      <w:r>
        <w:rPr>
          <w:color w:val="auto"/>
          <w:highlight w:val="none"/>
        </w:rPr>
        <w:tab/>
      </w:r>
      <w:r>
        <w:rPr>
          <w:color w:val="auto"/>
          <w:highlight w:val="none"/>
        </w:rPr>
        <w:fldChar w:fldCharType="begin"/>
      </w:r>
      <w:r>
        <w:rPr>
          <w:color w:val="auto"/>
          <w:highlight w:val="none"/>
        </w:rPr>
        <w:instrText xml:space="preserve"> PAGEREF _Toc26426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58B9C4DC">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_Toc15739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w:t>
      </w:r>
      <w:r>
        <w:rPr>
          <w:rFonts w:hint="eastAsia" w:ascii="宋体" w:hAnsi="宋体" w:eastAsia="宋体" w:cs="宋体"/>
          <w:color w:val="auto"/>
          <w:szCs w:val="30"/>
          <w:highlight w:val="none"/>
          <w:lang w:val="en-US" w:eastAsia="zh-CN"/>
        </w:rPr>
        <w:t>五</w:t>
      </w:r>
      <w:r>
        <w:rPr>
          <w:rFonts w:hint="eastAsia" w:ascii="宋体" w:hAnsi="宋体" w:eastAsia="宋体" w:cs="宋体"/>
          <w:color w:val="auto"/>
          <w:szCs w:val="30"/>
          <w:highlight w:val="none"/>
        </w:rPr>
        <w:t>）廉政承诺书</w:t>
      </w:r>
      <w:r>
        <w:rPr>
          <w:color w:val="auto"/>
          <w:highlight w:val="none"/>
        </w:rPr>
        <w:tab/>
      </w:r>
      <w:r>
        <w:rPr>
          <w:color w:val="auto"/>
          <w:highlight w:val="none"/>
        </w:rPr>
        <w:fldChar w:fldCharType="begin"/>
      </w:r>
      <w:r>
        <w:rPr>
          <w:color w:val="auto"/>
          <w:highlight w:val="none"/>
        </w:rPr>
        <w:instrText xml:space="preserve"> PAGEREF _Toc15739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1"/>
          <w:highlight w:val="none"/>
        </w:rPr>
        <w:fldChar w:fldCharType="end"/>
      </w:r>
    </w:p>
    <w:p w14:paraId="543CB634">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_Toc28873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w:t>
      </w:r>
      <w:r>
        <w:rPr>
          <w:rFonts w:hint="eastAsia" w:ascii="宋体" w:hAnsi="宋体" w:eastAsia="宋体" w:cs="宋体"/>
          <w:bCs w:val="0"/>
          <w:color w:val="auto"/>
          <w:szCs w:val="30"/>
          <w:highlight w:val="none"/>
          <w:lang w:val="en-US" w:eastAsia="zh-CN"/>
        </w:rPr>
        <w:t>六</w:t>
      </w:r>
      <w:r>
        <w:rPr>
          <w:rFonts w:hint="eastAsia" w:ascii="宋体" w:hAnsi="宋体" w:eastAsia="宋体" w:cs="宋体"/>
          <w:bCs w:val="0"/>
          <w:color w:val="auto"/>
          <w:szCs w:val="30"/>
          <w:highlight w:val="none"/>
        </w:rPr>
        <w:t>）法定代表人（合伙人）身份证明</w:t>
      </w:r>
      <w:r>
        <w:rPr>
          <w:color w:val="auto"/>
          <w:highlight w:val="none"/>
        </w:rPr>
        <w:tab/>
      </w:r>
      <w:r>
        <w:rPr>
          <w:color w:val="auto"/>
          <w:highlight w:val="none"/>
        </w:rPr>
        <w:fldChar w:fldCharType="begin"/>
      </w:r>
      <w:r>
        <w:rPr>
          <w:color w:val="auto"/>
          <w:highlight w:val="none"/>
        </w:rPr>
        <w:instrText xml:space="preserve"> PAGEREF _Toc28873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1"/>
          <w:highlight w:val="none"/>
        </w:rPr>
        <w:fldChar w:fldCharType="end"/>
      </w:r>
    </w:p>
    <w:p w14:paraId="2357D843">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_Toc20510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w:t>
      </w:r>
      <w:r>
        <w:rPr>
          <w:rFonts w:hint="eastAsia" w:ascii="宋体" w:hAnsi="宋体" w:eastAsia="宋体" w:cs="宋体"/>
          <w:bCs w:val="0"/>
          <w:color w:val="auto"/>
          <w:szCs w:val="30"/>
          <w:highlight w:val="none"/>
          <w:lang w:val="en-US" w:eastAsia="zh-CN"/>
        </w:rPr>
        <w:t>七</w:t>
      </w:r>
      <w:r>
        <w:rPr>
          <w:rFonts w:hint="eastAsia" w:ascii="宋体" w:hAnsi="宋体" w:eastAsia="宋体" w:cs="宋体"/>
          <w:bCs w:val="0"/>
          <w:color w:val="auto"/>
          <w:szCs w:val="30"/>
          <w:highlight w:val="none"/>
        </w:rPr>
        <w:t>）授权委托书</w:t>
      </w:r>
      <w:r>
        <w:rPr>
          <w:color w:val="auto"/>
          <w:highlight w:val="none"/>
        </w:rPr>
        <w:tab/>
      </w:r>
      <w:r>
        <w:rPr>
          <w:color w:val="auto"/>
          <w:highlight w:val="none"/>
        </w:rPr>
        <w:fldChar w:fldCharType="begin"/>
      </w:r>
      <w:r>
        <w:rPr>
          <w:color w:val="auto"/>
          <w:highlight w:val="none"/>
        </w:rPr>
        <w:instrText xml:space="preserve"> PAGEREF _Toc20510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21"/>
          <w:highlight w:val="none"/>
        </w:rPr>
        <w:fldChar w:fldCharType="end"/>
      </w:r>
    </w:p>
    <w:p w14:paraId="0272CCBE">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_Toc13327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（八） 报价一览表</w:t>
      </w:r>
      <w:r>
        <w:rPr>
          <w:color w:val="auto"/>
          <w:highlight w:val="none"/>
        </w:rPr>
        <w:tab/>
      </w:r>
      <w:r>
        <w:rPr>
          <w:color w:val="auto"/>
          <w:highlight w:val="none"/>
        </w:rPr>
        <w:fldChar w:fldCharType="begin"/>
      </w:r>
      <w:r>
        <w:rPr>
          <w:color w:val="auto"/>
          <w:highlight w:val="none"/>
        </w:rPr>
        <w:instrText xml:space="preserve"> PAGEREF _Toc13327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1"/>
          <w:highlight w:val="none"/>
        </w:rPr>
        <w:fldChar w:fldCharType="end"/>
      </w:r>
    </w:p>
    <w:p w14:paraId="1282BFFD">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_Toc16922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lang w:val="en-US" w:eastAsia="zh-CN" w:bidi="ar-SA"/>
        </w:rPr>
        <w:t>（九）承诺函</w:t>
      </w:r>
      <w:r>
        <w:rPr>
          <w:color w:val="auto"/>
          <w:highlight w:val="none"/>
        </w:rPr>
        <w:tab/>
      </w:r>
      <w:r>
        <w:rPr>
          <w:color w:val="auto"/>
          <w:highlight w:val="none"/>
        </w:rPr>
        <w:fldChar w:fldCharType="begin"/>
      </w:r>
      <w:r>
        <w:rPr>
          <w:color w:val="auto"/>
          <w:highlight w:val="none"/>
        </w:rPr>
        <w:instrText xml:space="preserve"> PAGEREF _Toc16922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1"/>
          <w:highlight w:val="none"/>
        </w:rPr>
        <w:fldChar w:fldCharType="end"/>
      </w:r>
    </w:p>
    <w:p w14:paraId="1EA6E885">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_Toc28653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lang w:val="en-US" w:eastAsia="zh-CN" w:bidi="ar-SA"/>
        </w:rPr>
        <w:t>（十）</w:t>
      </w:r>
      <w:r>
        <w:rPr>
          <w:rFonts w:hint="eastAsia" w:ascii="宋体" w:hAnsi="宋体" w:eastAsia="宋体" w:cs="宋体"/>
          <w:bCs w:val="0"/>
          <w:color w:val="auto"/>
          <w:szCs w:val="30"/>
          <w:highlight w:val="none"/>
          <w:lang w:val="en-US" w:eastAsia="zh-CN"/>
        </w:rPr>
        <w:t>针对本项目拟提供的服务方案</w:t>
      </w:r>
      <w:r>
        <w:rPr>
          <w:color w:val="auto"/>
          <w:highlight w:val="none"/>
        </w:rPr>
        <w:tab/>
      </w:r>
      <w:r>
        <w:rPr>
          <w:color w:val="auto"/>
          <w:highlight w:val="none"/>
        </w:rPr>
        <w:fldChar w:fldCharType="begin"/>
      </w:r>
      <w:r>
        <w:rPr>
          <w:color w:val="auto"/>
          <w:highlight w:val="none"/>
        </w:rPr>
        <w:instrText xml:space="preserve"> PAGEREF _Toc28653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1"/>
          <w:highlight w:val="none"/>
        </w:rPr>
        <w:fldChar w:fldCharType="end"/>
      </w:r>
    </w:p>
    <w:p w14:paraId="7AE5B0C8">
      <w:pPr>
        <w:pStyle w:val="19"/>
        <w:tabs>
          <w:tab w:val="right" w:leader="hyphen" w:pos="8504"/>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_Toc25893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（十</w:t>
      </w:r>
      <w:r>
        <w:rPr>
          <w:rFonts w:hint="eastAsia" w:ascii="宋体" w:hAnsi="宋体" w:eastAsia="宋体" w:cs="宋体"/>
          <w:bCs w:val="0"/>
          <w:color w:val="auto"/>
          <w:szCs w:val="30"/>
          <w:highlight w:val="none"/>
          <w:lang w:val="en-US" w:eastAsia="zh-CN"/>
        </w:rPr>
        <w:t>一</w:t>
      </w:r>
      <w:r>
        <w:rPr>
          <w:rFonts w:hint="eastAsia" w:ascii="宋体" w:hAnsi="宋体" w:eastAsia="宋体" w:cs="宋体"/>
          <w:bCs w:val="0"/>
          <w:color w:val="auto"/>
          <w:szCs w:val="30"/>
          <w:highlight w:val="none"/>
        </w:rPr>
        <w:t>）申请人认为有必要提供的其他资料</w:t>
      </w:r>
      <w:r>
        <w:rPr>
          <w:color w:val="auto"/>
          <w:highlight w:val="none"/>
        </w:rPr>
        <w:tab/>
      </w:r>
      <w:r>
        <w:rPr>
          <w:color w:val="auto"/>
          <w:highlight w:val="none"/>
        </w:rPr>
        <w:fldChar w:fldCharType="begin"/>
      </w:r>
      <w:r>
        <w:rPr>
          <w:color w:val="auto"/>
          <w:highlight w:val="none"/>
        </w:rPr>
        <w:instrText xml:space="preserve"> PAGEREF _Toc25893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1"/>
          <w:highlight w:val="none"/>
        </w:rPr>
        <w:fldChar w:fldCharType="end"/>
      </w:r>
    </w:p>
    <w:p w14:paraId="1CE9333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36"/>
          <w:szCs w:val="36"/>
          <w:highlight w:val="none"/>
        </w:rPr>
        <w:sectPr>
          <w:headerReference r:id="rId3" w:type="default"/>
          <w:pgSz w:w="11906" w:h="16838"/>
          <w:pgMar w:top="1134" w:right="1701" w:bottom="1134" w:left="1701" w:header="851" w:footer="992" w:gutter="0"/>
          <w:pgNumType w:start="1"/>
          <w:cols w:space="720" w:num="1"/>
          <w:docGrid w:type="lines" w:linePitch="312" w:charSpace="0"/>
        </w:sectPr>
      </w:pPr>
      <w:r>
        <w:rPr>
          <w:rFonts w:hint="eastAsia" w:ascii="宋体" w:hAnsi="宋体" w:eastAsia="宋体" w:cs="宋体"/>
          <w:color w:val="auto"/>
          <w:szCs w:val="21"/>
          <w:highlight w:val="none"/>
        </w:rPr>
        <w:fldChar w:fldCharType="end"/>
      </w:r>
    </w:p>
    <w:bookmarkEnd w:id="2"/>
    <w:p w14:paraId="76EB5027">
      <w:pPr>
        <w:spacing w:line="520" w:lineRule="exact"/>
        <w:jc w:val="center"/>
        <w:outlineLvl w:val="0"/>
        <w:rPr>
          <w:rFonts w:hint="eastAsia" w:ascii="宋体" w:hAnsi="宋体" w:eastAsia="宋体" w:cs="宋体"/>
          <w:color w:val="auto"/>
          <w:sz w:val="36"/>
          <w:szCs w:val="36"/>
          <w:highlight w:val="none"/>
          <w:lang w:eastAsia="zh-CN"/>
        </w:rPr>
      </w:pPr>
      <w:bookmarkStart w:id="5" w:name="_Toc4645"/>
      <w:bookmarkStart w:id="6" w:name="_Toc2170"/>
      <w:bookmarkStart w:id="7" w:name="_Toc9537"/>
      <w:r>
        <w:rPr>
          <w:rFonts w:hint="eastAsia" w:ascii="宋体" w:hAnsi="宋体" w:eastAsia="宋体" w:cs="宋体"/>
          <w:color w:val="auto"/>
          <w:sz w:val="36"/>
          <w:szCs w:val="36"/>
          <w:highlight w:val="none"/>
        </w:rPr>
        <w:t xml:space="preserve">第一章 </w:t>
      </w:r>
      <w:bookmarkEnd w:id="5"/>
      <w:bookmarkStart w:id="8" w:name="_Toc152042295"/>
      <w:bookmarkStart w:id="9" w:name="_Toc246996909"/>
      <w:bookmarkStart w:id="10" w:name="_Toc296602410"/>
      <w:bookmarkStart w:id="11" w:name="_Toc246996166"/>
      <w:bookmarkStart w:id="12" w:name="_Toc152045519"/>
      <w:bookmarkStart w:id="13" w:name="_Toc432792961"/>
      <w:bookmarkStart w:id="14" w:name="_Toc144974487"/>
      <w:bookmarkStart w:id="15" w:name="_Toc247085680"/>
      <w:bookmarkStart w:id="16" w:name="_Toc179632536"/>
      <w:r>
        <w:rPr>
          <w:rFonts w:hint="eastAsia" w:ascii="宋体" w:hAnsi="宋体" w:eastAsia="宋体" w:cs="宋体"/>
          <w:color w:val="auto"/>
          <w:sz w:val="36"/>
          <w:szCs w:val="36"/>
          <w:highlight w:val="none"/>
          <w:lang w:eastAsia="zh-CN"/>
        </w:rPr>
        <w:t>询价</w:t>
      </w:r>
      <w:bookmarkEnd w:id="6"/>
      <w:r>
        <w:rPr>
          <w:rFonts w:hint="eastAsia" w:ascii="宋体" w:hAnsi="宋体" w:cs="宋体"/>
          <w:color w:val="auto"/>
          <w:sz w:val="36"/>
          <w:szCs w:val="36"/>
          <w:highlight w:val="none"/>
          <w:lang w:val="en-US" w:eastAsia="zh-CN"/>
        </w:rPr>
        <w:t>公告</w:t>
      </w:r>
    </w:p>
    <w:p w14:paraId="7FE4D554">
      <w:pPr>
        <w:spacing w:line="520"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2"/>
          <w:szCs w:val="32"/>
          <w:highlight w:val="none"/>
          <w:lang w:eastAsia="zh-CN"/>
        </w:rPr>
        <w:t>昆明鑫安道路设施维护有限公司清算报告服务项目（四次）</w:t>
      </w:r>
      <w:bookmarkStart w:id="17" w:name="_Toc32431"/>
      <w:bookmarkStart w:id="18" w:name="_Toc27752"/>
      <w:r>
        <w:rPr>
          <w:rFonts w:hint="eastAsia" w:ascii="宋体" w:hAnsi="宋体" w:cs="宋体"/>
          <w:color w:val="auto"/>
          <w:sz w:val="32"/>
          <w:szCs w:val="32"/>
          <w:highlight w:val="none"/>
          <w:lang w:val="en-US" w:eastAsia="zh-CN"/>
        </w:rPr>
        <w:t>询价公告</w:t>
      </w:r>
    </w:p>
    <w:p w14:paraId="2F150E03">
      <w:pPr>
        <w:spacing w:line="360" w:lineRule="auto"/>
        <w:ind w:firstLine="420" w:firstLineChars="0"/>
        <w:outlineLvl w:val="1"/>
        <w:rPr>
          <w:rFonts w:hint="eastAsia" w:ascii="宋体" w:hAnsi="宋体" w:eastAsia="宋体" w:cs="宋体"/>
          <w:color w:val="auto"/>
          <w:sz w:val="28"/>
          <w:szCs w:val="28"/>
          <w:highlight w:val="none"/>
        </w:rPr>
      </w:pPr>
      <w:bookmarkStart w:id="19" w:name="_Toc9732"/>
      <w:bookmarkStart w:id="20" w:name="_Toc17478"/>
      <w:r>
        <w:rPr>
          <w:rFonts w:hint="eastAsia" w:ascii="宋体" w:hAnsi="宋体" w:eastAsia="宋体" w:cs="宋体"/>
          <w:color w:val="auto"/>
          <w:sz w:val="28"/>
          <w:szCs w:val="28"/>
          <w:highlight w:val="none"/>
        </w:rPr>
        <w:t>1.询价条件</w:t>
      </w:r>
      <w:bookmarkEnd w:id="8"/>
      <w:bookmarkEnd w:id="9"/>
      <w:bookmarkEnd w:id="10"/>
      <w:bookmarkEnd w:id="11"/>
      <w:bookmarkEnd w:id="12"/>
      <w:bookmarkEnd w:id="13"/>
      <w:bookmarkEnd w:id="14"/>
      <w:bookmarkEnd w:id="15"/>
      <w:bookmarkEnd w:id="16"/>
      <w:bookmarkEnd w:id="17"/>
      <w:bookmarkEnd w:id="18"/>
      <w:bookmarkEnd w:id="19"/>
      <w:bookmarkEnd w:id="20"/>
    </w:p>
    <w:p w14:paraId="5CEAE6F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1"/>
          <w:szCs w:val="21"/>
          <w:highlight w:val="none"/>
        </w:rPr>
      </w:pPr>
      <w:r>
        <w:rPr>
          <w:rFonts w:hint="eastAsia" w:ascii="宋体" w:hAnsi="宋体" w:cs="宋体"/>
          <w:i w:val="0"/>
          <w:iCs w:val="0"/>
          <w:color w:val="auto"/>
          <w:sz w:val="24"/>
          <w:szCs w:val="24"/>
          <w:highlight w:val="none"/>
          <w:u w:val="single"/>
          <w:lang w:eastAsia="zh-CN"/>
        </w:rPr>
        <w:t>昆明鑫安道路设施维护有限公司清算报告服务项目（四次）</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采购项目的供应商应在</w:t>
      </w:r>
      <w:r>
        <w:rPr>
          <w:rFonts w:hint="eastAsia" w:ascii="宋体" w:hAnsi="宋体"/>
          <w:color w:val="auto"/>
          <w:sz w:val="24"/>
          <w:highlight w:val="none"/>
          <w:u w:val="single"/>
        </w:rPr>
        <w:t>云南省昆明市官渡区春城路62号证券大厦附楼7楼</w:t>
      </w:r>
      <w:r>
        <w:rPr>
          <w:rFonts w:hint="eastAsia" w:ascii="宋体" w:hAnsi="宋体"/>
          <w:color w:val="auto"/>
          <w:sz w:val="24"/>
          <w:highlight w:val="none"/>
          <w:u w:val="single"/>
          <w:lang w:val="en-US" w:eastAsia="zh-CN"/>
        </w:rPr>
        <w:t>777室</w:t>
      </w:r>
      <w:r>
        <w:rPr>
          <w:rFonts w:hint="eastAsia" w:cs="宋体"/>
          <w:i w:val="0"/>
          <w:iCs w:val="0"/>
          <w:color w:val="auto"/>
          <w:sz w:val="24"/>
          <w:szCs w:val="24"/>
          <w:highlight w:val="none"/>
          <w:u w:val="none"/>
          <w:lang w:val="en-US" w:eastAsia="zh-CN"/>
        </w:rPr>
        <w:t>获取</w:t>
      </w:r>
      <w:r>
        <w:rPr>
          <w:rFonts w:hint="eastAsia" w:ascii="宋体" w:hAnsi="宋体" w:cs="宋体"/>
          <w:i w:val="0"/>
          <w:iCs w:val="0"/>
          <w:color w:val="auto"/>
          <w:sz w:val="24"/>
          <w:szCs w:val="24"/>
          <w:highlight w:val="none"/>
          <w:lang w:val="en-US" w:eastAsia="zh-CN"/>
        </w:rPr>
        <w:t>询价</w:t>
      </w:r>
      <w:r>
        <w:rPr>
          <w:rFonts w:hint="eastAsia" w:ascii="宋体" w:hAnsi="宋体" w:eastAsia="宋体" w:cs="宋体"/>
          <w:i w:val="0"/>
          <w:iCs w:val="0"/>
          <w:color w:val="auto"/>
          <w:sz w:val="24"/>
          <w:szCs w:val="24"/>
          <w:highlight w:val="none"/>
        </w:rPr>
        <w:t>文件，并于</w:t>
      </w:r>
      <w:r>
        <w:rPr>
          <w:rFonts w:hint="eastAsia" w:cs="宋体"/>
          <w:i w:val="0"/>
          <w:iCs w:val="0"/>
          <w:color w:val="auto"/>
          <w:sz w:val="24"/>
          <w:szCs w:val="24"/>
          <w:highlight w:val="none"/>
          <w:u w:val="single"/>
          <w:lang w:val="en-US" w:eastAsia="zh-CN"/>
        </w:rPr>
        <w:t>2025</w:t>
      </w:r>
      <w:r>
        <w:rPr>
          <w:rFonts w:hint="eastAsia" w:ascii="宋体" w:hAnsi="宋体" w:eastAsia="宋体" w:cs="宋体"/>
          <w:bCs/>
          <w:i w:val="0"/>
          <w:iCs w:val="0"/>
          <w:color w:val="auto"/>
          <w:sz w:val="24"/>
          <w:szCs w:val="24"/>
          <w:highlight w:val="none"/>
          <w:u w:val="single"/>
        </w:rPr>
        <w:t>年</w:t>
      </w:r>
      <w:r>
        <w:rPr>
          <w:rFonts w:hint="eastAsia" w:cs="宋体"/>
          <w:bCs/>
          <w:i w:val="0"/>
          <w:iCs w:val="0"/>
          <w:color w:val="auto"/>
          <w:sz w:val="24"/>
          <w:szCs w:val="24"/>
          <w:highlight w:val="none"/>
          <w:u w:val="single"/>
          <w:lang w:val="en-US" w:eastAsia="zh-CN"/>
        </w:rPr>
        <w:t>9</w:t>
      </w:r>
      <w:r>
        <w:rPr>
          <w:rFonts w:hint="eastAsia" w:ascii="宋体" w:hAnsi="宋体" w:eastAsia="宋体" w:cs="宋体"/>
          <w:bCs/>
          <w:i w:val="0"/>
          <w:iCs w:val="0"/>
          <w:color w:val="auto"/>
          <w:sz w:val="24"/>
          <w:szCs w:val="24"/>
          <w:highlight w:val="none"/>
          <w:u w:val="single"/>
        </w:rPr>
        <w:t>月</w:t>
      </w:r>
      <w:r>
        <w:rPr>
          <w:rFonts w:hint="eastAsia" w:cs="宋体"/>
          <w:bCs/>
          <w:i w:val="0"/>
          <w:iCs w:val="0"/>
          <w:color w:val="auto"/>
          <w:sz w:val="24"/>
          <w:szCs w:val="24"/>
          <w:highlight w:val="none"/>
          <w:u w:val="single"/>
          <w:lang w:val="en-US" w:eastAsia="zh-CN"/>
        </w:rPr>
        <w:t>22</w:t>
      </w:r>
      <w:r>
        <w:rPr>
          <w:rFonts w:hint="eastAsia" w:ascii="宋体" w:hAnsi="宋体" w:eastAsia="宋体" w:cs="宋体"/>
          <w:bCs/>
          <w:i w:val="0"/>
          <w:iCs w:val="0"/>
          <w:color w:val="auto"/>
          <w:sz w:val="24"/>
          <w:szCs w:val="24"/>
          <w:highlight w:val="none"/>
          <w:u w:val="single"/>
        </w:rPr>
        <w:t>日</w:t>
      </w:r>
      <w:r>
        <w:rPr>
          <w:rFonts w:hint="eastAsia" w:cs="宋体"/>
          <w:bCs/>
          <w:i w:val="0"/>
          <w:iCs w:val="0"/>
          <w:color w:val="auto"/>
          <w:sz w:val="24"/>
          <w:szCs w:val="24"/>
          <w:highlight w:val="none"/>
          <w:u w:val="single"/>
          <w:lang w:val="en-US" w:eastAsia="zh-CN"/>
        </w:rPr>
        <w:t>14</w:t>
      </w:r>
      <w:r>
        <w:rPr>
          <w:rFonts w:hint="eastAsia" w:ascii="宋体" w:hAnsi="宋体" w:eastAsia="宋体" w:cs="宋体"/>
          <w:bCs/>
          <w:i w:val="0"/>
          <w:iCs w:val="0"/>
          <w:color w:val="auto"/>
          <w:sz w:val="24"/>
          <w:szCs w:val="24"/>
          <w:highlight w:val="none"/>
          <w:u w:val="single"/>
        </w:rPr>
        <w:t>点</w:t>
      </w:r>
      <w:r>
        <w:rPr>
          <w:rFonts w:hint="eastAsia" w:cs="宋体"/>
          <w:bCs/>
          <w:i w:val="0"/>
          <w:iCs w:val="0"/>
          <w:color w:val="auto"/>
          <w:sz w:val="24"/>
          <w:szCs w:val="24"/>
          <w:highlight w:val="none"/>
          <w:u w:val="single"/>
          <w:lang w:val="en-US" w:eastAsia="zh-CN"/>
        </w:rPr>
        <w:t>00</w:t>
      </w:r>
      <w:r>
        <w:rPr>
          <w:rFonts w:hint="eastAsia" w:ascii="宋体" w:hAnsi="宋体" w:eastAsia="宋体" w:cs="宋体"/>
          <w:bCs/>
          <w:i w:val="0"/>
          <w:iCs w:val="0"/>
          <w:color w:val="auto"/>
          <w:sz w:val="24"/>
          <w:szCs w:val="24"/>
          <w:highlight w:val="none"/>
          <w:u w:val="single"/>
        </w:rPr>
        <w:t>分</w:t>
      </w:r>
      <w:r>
        <w:rPr>
          <w:rFonts w:hint="eastAsia" w:ascii="宋体" w:hAnsi="宋体" w:eastAsia="宋体" w:cs="宋体"/>
          <w:bCs/>
          <w:i w:val="0"/>
          <w:iCs w:val="0"/>
          <w:color w:val="auto"/>
          <w:sz w:val="24"/>
          <w:szCs w:val="24"/>
          <w:highlight w:val="none"/>
        </w:rPr>
        <w:t>（北京时间）前提交响应文件</w:t>
      </w:r>
      <w:r>
        <w:rPr>
          <w:rFonts w:hint="eastAsia" w:ascii="宋体" w:hAnsi="宋体" w:eastAsia="宋体" w:cs="宋体"/>
          <w:i w:val="0"/>
          <w:iCs w:val="0"/>
          <w:color w:val="auto"/>
          <w:sz w:val="24"/>
          <w:szCs w:val="24"/>
          <w:highlight w:val="none"/>
        </w:rPr>
        <w:t>。</w:t>
      </w:r>
    </w:p>
    <w:p w14:paraId="20854FCE">
      <w:pPr>
        <w:spacing w:line="360" w:lineRule="auto"/>
        <w:ind w:firstLine="420" w:firstLineChars="0"/>
        <w:outlineLvl w:val="1"/>
        <w:rPr>
          <w:rFonts w:hint="eastAsia" w:ascii="宋体" w:hAnsi="宋体" w:eastAsia="宋体" w:cs="宋体"/>
          <w:color w:val="auto"/>
          <w:sz w:val="28"/>
          <w:szCs w:val="28"/>
          <w:highlight w:val="none"/>
        </w:rPr>
      </w:pPr>
      <w:bookmarkStart w:id="21" w:name="_Toc10542"/>
      <w:bookmarkStart w:id="22" w:name="_Toc246996167"/>
      <w:bookmarkStart w:id="23" w:name="_Toc432792962"/>
      <w:bookmarkStart w:id="24" w:name="_Toc247085681"/>
      <w:bookmarkStart w:id="25" w:name="_Toc246996910"/>
      <w:bookmarkStart w:id="26" w:name="_Toc296602411"/>
      <w:bookmarkStart w:id="27" w:name="_Toc152045520"/>
      <w:bookmarkStart w:id="28" w:name="_Toc179632537"/>
      <w:bookmarkStart w:id="29" w:name="_Toc3291"/>
      <w:bookmarkStart w:id="30" w:name="_Toc152042296"/>
      <w:bookmarkStart w:id="31" w:name="_Toc6089"/>
      <w:bookmarkStart w:id="32" w:name="_Toc144974488"/>
      <w:bookmarkStart w:id="33" w:name="_Toc9802"/>
      <w:r>
        <w:rPr>
          <w:rFonts w:hint="eastAsia" w:ascii="宋体" w:hAnsi="宋体" w:eastAsia="宋体" w:cs="宋体"/>
          <w:color w:val="auto"/>
          <w:sz w:val="28"/>
          <w:szCs w:val="28"/>
          <w:highlight w:val="none"/>
        </w:rPr>
        <w:t>2.项目概况与询价范围</w:t>
      </w:r>
      <w:bookmarkEnd w:id="21"/>
      <w:bookmarkEnd w:id="22"/>
      <w:bookmarkEnd w:id="23"/>
      <w:bookmarkEnd w:id="24"/>
      <w:bookmarkEnd w:id="25"/>
      <w:bookmarkEnd w:id="26"/>
      <w:bookmarkEnd w:id="27"/>
      <w:bookmarkEnd w:id="28"/>
      <w:bookmarkEnd w:id="29"/>
      <w:bookmarkEnd w:id="30"/>
      <w:bookmarkEnd w:id="31"/>
      <w:bookmarkEnd w:id="32"/>
      <w:bookmarkEnd w:id="33"/>
    </w:p>
    <w:p w14:paraId="0017798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2.1项目概况：</w:t>
      </w:r>
      <w:r>
        <w:rPr>
          <w:rFonts w:hint="eastAsia" w:ascii="宋体" w:hAnsi="宋体" w:cs="宋体"/>
          <w:color w:val="auto"/>
          <w:sz w:val="24"/>
          <w:szCs w:val="24"/>
          <w:highlight w:val="none"/>
          <w:lang w:eastAsia="zh-CN"/>
        </w:rPr>
        <w:t>昆明鑫安道路设施维护有限公司清算报告服务项目（四次），经过严谨的市场调研与综合评估，</w:t>
      </w:r>
      <w:r>
        <w:rPr>
          <w:rFonts w:hint="eastAsia" w:ascii="宋体" w:hAnsi="宋体" w:cs="宋体"/>
          <w:color w:val="auto"/>
          <w:sz w:val="24"/>
          <w:szCs w:val="24"/>
          <w:highlight w:val="none"/>
          <w:lang w:val="en-US" w:eastAsia="zh-CN"/>
        </w:rPr>
        <w:t>采用询价方式选择本次</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2895FC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2.2采购范围：完成昆明鑫安道路设施维护有限公司清算工作，并出具清算报告。</w:t>
      </w:r>
    </w:p>
    <w:p w14:paraId="4A1834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2.3项目地点：</w:t>
      </w:r>
      <w:r>
        <w:rPr>
          <w:rFonts w:hint="eastAsia" w:ascii="宋体" w:hAnsi="宋体" w:cs="宋体"/>
          <w:color w:val="auto"/>
          <w:sz w:val="24"/>
          <w:szCs w:val="24"/>
          <w:highlight w:val="none"/>
          <w:lang w:val="en-US" w:eastAsia="zh-CN"/>
        </w:rPr>
        <w:t>昆明安保（集团）有限责任公司</w:t>
      </w:r>
      <w:r>
        <w:rPr>
          <w:rFonts w:hint="eastAsia" w:ascii="宋体" w:hAnsi="宋体" w:eastAsia="宋体" w:cs="宋体"/>
          <w:color w:val="auto"/>
          <w:sz w:val="24"/>
          <w:szCs w:val="24"/>
          <w:highlight w:val="none"/>
          <w:lang w:eastAsia="zh-CN"/>
        </w:rPr>
        <w:t>。</w:t>
      </w:r>
    </w:p>
    <w:p w14:paraId="2967D3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2.4最高投标限价：人民币：4000元（大写：肆仟元整）。</w:t>
      </w:r>
    </w:p>
    <w:p w14:paraId="0CA791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2.5资金来源及落实情况：</w:t>
      </w:r>
      <w:r>
        <w:rPr>
          <w:rFonts w:hint="eastAsia" w:ascii="宋体" w:hAnsi="宋体" w:cs="宋体"/>
          <w:color w:val="auto"/>
          <w:sz w:val="24"/>
          <w:szCs w:val="24"/>
          <w:highlight w:val="none"/>
          <w:lang w:val="en-US" w:eastAsia="zh-CN"/>
        </w:rPr>
        <w:t>企业自筹</w:t>
      </w:r>
      <w:r>
        <w:rPr>
          <w:rFonts w:hint="eastAsia" w:ascii="宋体" w:hAnsi="宋体" w:eastAsia="宋体" w:cs="宋体"/>
          <w:color w:val="auto"/>
          <w:sz w:val="24"/>
          <w:szCs w:val="24"/>
          <w:highlight w:val="none"/>
        </w:rPr>
        <w:t>，已落实。</w:t>
      </w:r>
    </w:p>
    <w:p w14:paraId="2B6E04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cs="宋体"/>
          <w:color w:val="auto"/>
          <w:sz w:val="24"/>
          <w:szCs w:val="24"/>
          <w:highlight w:val="none"/>
          <w:lang w:eastAsia="zh-CN"/>
        </w:rPr>
        <w:t>服务周期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自合同签订之日起至</w:t>
      </w:r>
      <w:r>
        <w:rPr>
          <w:rFonts w:hint="eastAsia" w:ascii="宋体" w:hAnsi="宋体" w:cs="宋体"/>
          <w:color w:val="auto"/>
          <w:sz w:val="24"/>
          <w:szCs w:val="24"/>
          <w:highlight w:val="none"/>
          <w:lang w:val="en-US" w:eastAsia="zh-CN"/>
        </w:rPr>
        <w:t>服务工作结束</w:t>
      </w:r>
      <w:r>
        <w:rPr>
          <w:rFonts w:hint="eastAsia" w:ascii="宋体" w:hAnsi="宋体" w:eastAsia="宋体" w:cs="宋体"/>
          <w:color w:val="auto"/>
          <w:sz w:val="24"/>
          <w:szCs w:val="24"/>
          <w:highlight w:val="none"/>
          <w:lang w:eastAsia="zh-CN"/>
        </w:rPr>
        <w:t>。</w:t>
      </w:r>
    </w:p>
    <w:p w14:paraId="7EDADD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cs="宋体"/>
          <w:color w:val="auto"/>
          <w:sz w:val="24"/>
          <w:szCs w:val="24"/>
          <w:highlight w:val="none"/>
          <w:lang w:eastAsia="zh-CN"/>
        </w:rPr>
        <w:t>项目质量要求</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符合现行国家、地方技术标准、规范，满足采购人的相关要求，保证</w:t>
      </w:r>
      <w:r>
        <w:rPr>
          <w:rFonts w:hint="eastAsia" w:ascii="宋体" w:hAnsi="宋体" w:cs="宋体"/>
          <w:color w:val="auto"/>
          <w:sz w:val="24"/>
          <w:szCs w:val="24"/>
          <w:highlight w:val="none"/>
          <w:lang w:val="en-US" w:eastAsia="zh-CN"/>
        </w:rPr>
        <w:t>服务要求及服务质量</w:t>
      </w:r>
      <w:r>
        <w:rPr>
          <w:rFonts w:hint="eastAsia" w:ascii="宋体" w:hAnsi="宋体" w:eastAsia="宋体" w:cs="宋体"/>
          <w:color w:val="auto"/>
          <w:sz w:val="24"/>
          <w:szCs w:val="24"/>
          <w:highlight w:val="none"/>
        </w:rPr>
        <w:t>。</w:t>
      </w:r>
    </w:p>
    <w:p w14:paraId="6B35779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8询价</w:t>
      </w:r>
      <w:r>
        <w:rPr>
          <w:rFonts w:hint="eastAsia" w:ascii="宋体" w:hAnsi="宋体" w:eastAsia="宋体" w:cs="宋体"/>
          <w:color w:val="auto"/>
          <w:sz w:val="24"/>
          <w:highlight w:val="none"/>
        </w:rPr>
        <w:t>原则：询价小组应当从质量和服务均能满足采购文件实质性响应要求的供应商中，按照</w:t>
      </w:r>
      <w:r>
        <w:rPr>
          <w:rFonts w:hint="eastAsia" w:ascii="宋体" w:hAnsi="宋体" w:cs="宋体"/>
          <w:color w:val="auto"/>
          <w:sz w:val="24"/>
          <w:highlight w:val="none"/>
          <w:lang w:val="en-US" w:eastAsia="zh-CN"/>
        </w:rPr>
        <w:t>服务</w:t>
      </w:r>
      <w:r>
        <w:rPr>
          <w:rFonts w:hint="eastAsia" w:ascii="宋体" w:hAnsi="宋体" w:eastAsia="宋体" w:cs="宋体"/>
          <w:b/>
          <w:bCs/>
          <w:color w:val="auto"/>
          <w:sz w:val="24"/>
          <w:highlight w:val="none"/>
        </w:rPr>
        <w:t>报价</w:t>
      </w:r>
      <w:r>
        <w:rPr>
          <w:rFonts w:hint="eastAsia" w:ascii="宋体" w:hAnsi="宋体" w:eastAsia="宋体" w:cs="宋体"/>
          <w:color w:val="auto"/>
          <w:sz w:val="24"/>
          <w:highlight w:val="none"/>
        </w:rPr>
        <w:t>由低到高的顺序</w:t>
      </w:r>
      <w:r>
        <w:rPr>
          <w:rFonts w:hint="eastAsia" w:ascii="宋体" w:hAnsi="宋体" w:eastAsia="宋体" w:cs="宋体"/>
          <w:color w:val="auto"/>
          <w:sz w:val="24"/>
          <w:highlight w:val="none"/>
          <w:lang w:val="en-US" w:eastAsia="zh-CN"/>
        </w:rPr>
        <w:t>确认</w:t>
      </w:r>
      <w:r>
        <w:rPr>
          <w:rFonts w:hint="eastAsia" w:ascii="宋体" w:hAnsi="宋体" w:eastAsia="宋体" w:cs="宋体"/>
          <w:color w:val="auto"/>
          <w:sz w:val="24"/>
          <w:highlight w:val="none"/>
        </w:rPr>
        <w:t>3名成交候选人。</w:t>
      </w:r>
    </w:p>
    <w:p w14:paraId="316C6B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确认中选本项目的</w:t>
      </w:r>
      <w:r>
        <w:rPr>
          <w:rFonts w:hint="eastAsia" w:ascii="宋体" w:hAnsi="宋体" w:eastAsia="宋体" w:cs="宋体"/>
          <w:color w:val="auto"/>
          <w:sz w:val="24"/>
          <w:highlight w:val="none"/>
          <w:lang w:val="en-US" w:eastAsia="zh-CN"/>
        </w:rPr>
        <w:t>申请</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需以中选的报价与采购人签订合同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若中选单位不接受此要求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则取消其中选资格，由其他候选人依次替补</w:t>
      </w:r>
      <w:r>
        <w:rPr>
          <w:rFonts w:hint="eastAsia" w:ascii="宋体" w:hAnsi="宋体" w:eastAsia="宋体" w:cs="宋体"/>
          <w:color w:val="auto"/>
          <w:sz w:val="24"/>
          <w:highlight w:val="none"/>
          <w:lang w:val="en-US" w:eastAsia="zh-CN"/>
        </w:rPr>
        <w:t>或重新开展采购活动</w:t>
      </w:r>
      <w:r>
        <w:rPr>
          <w:rFonts w:hint="eastAsia" w:ascii="宋体" w:hAnsi="宋体" w:eastAsia="宋体" w:cs="宋体"/>
          <w:color w:val="auto"/>
          <w:sz w:val="24"/>
          <w:highlight w:val="none"/>
        </w:rPr>
        <w:t>。</w:t>
      </w:r>
    </w:p>
    <w:p w14:paraId="65951D07">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color w:val="auto"/>
          <w:sz w:val="28"/>
          <w:szCs w:val="28"/>
          <w:highlight w:val="none"/>
        </w:rPr>
      </w:pPr>
      <w:bookmarkStart w:id="34" w:name="_Toc13738"/>
      <w:bookmarkStart w:id="35" w:name="_Toc432792963"/>
      <w:bookmarkStart w:id="36" w:name="_Toc22969"/>
      <w:bookmarkStart w:id="37" w:name="_Toc9641"/>
      <w:bookmarkStart w:id="38" w:name="_Toc14239"/>
      <w:r>
        <w:rPr>
          <w:rFonts w:hint="eastAsia" w:ascii="宋体" w:hAnsi="宋体" w:eastAsia="宋体" w:cs="宋体"/>
          <w:color w:val="auto"/>
          <w:sz w:val="28"/>
          <w:szCs w:val="28"/>
          <w:highlight w:val="none"/>
        </w:rPr>
        <w:t>3.申请人资格</w:t>
      </w:r>
      <w:bookmarkEnd w:id="34"/>
      <w:bookmarkEnd w:id="35"/>
      <w:r>
        <w:rPr>
          <w:rFonts w:hint="eastAsia" w:ascii="宋体" w:hAnsi="宋体" w:eastAsia="宋体" w:cs="宋体"/>
          <w:color w:val="auto"/>
          <w:sz w:val="28"/>
          <w:szCs w:val="28"/>
          <w:highlight w:val="none"/>
        </w:rPr>
        <w:t>条件</w:t>
      </w:r>
      <w:bookmarkEnd w:id="36"/>
      <w:bookmarkEnd w:id="37"/>
      <w:bookmarkEnd w:id="38"/>
    </w:p>
    <w:p w14:paraId="233F526D">
      <w:pPr>
        <w:pStyle w:val="4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bookmarkStart w:id="39" w:name="_Toc339890044"/>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1供应商为法人、其他组织或者自然人；提供有效的营业执照或事业单位法人证书或民办非企业登记证书或社会团体登记证或自然人身份证明；</w:t>
      </w:r>
    </w:p>
    <w:p w14:paraId="51B80ECC">
      <w:pPr>
        <w:pStyle w:val="4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3.2本项目接受分支机构投标且分支机构须具备有效的营业执照或其它法定证照；同一公司，仅能授权一家分支机构参加投标；分公司参与本项目投标的，须提供总公司针对本项目投标的授权书。</w:t>
      </w:r>
    </w:p>
    <w:p w14:paraId="29B713AB">
      <w:pPr>
        <w:pStyle w:val="4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须具有开展相关审计工作所需的执业证书。</w:t>
      </w:r>
    </w:p>
    <w:p w14:paraId="50A569A4">
      <w:pPr>
        <w:pStyle w:val="4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财务要求：提供2022至2024年中任意一年的经审计的财务报告或近三个月内基本开户银行出具的资信证明（成立时间不足一年的，可提供近三个月内基本开户银行出具的资信证明或自成立至今经第三方审计的财务报告）。</w:t>
      </w:r>
    </w:p>
    <w:p w14:paraId="0DD9129A">
      <w:pPr>
        <w:pStyle w:val="4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供应商应在“信用中国”网站（www.creditchina.gov.cn）未被列入失信被执行人记录、重大税收违法失信主体且在中国政府采购网(www.ccgp.gov.cn)没有政府采购严重违法失信行为记录。</w:t>
      </w:r>
    </w:p>
    <w:p w14:paraId="7B18672B">
      <w:pPr>
        <w:pStyle w:val="4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lang w:val="en-US" w:eastAsia="zh-CN"/>
        </w:rPr>
        <w:t>企业业绩：近三年内（2022年至今）最少须具有2个类似项目业绩。（类似项目业绩以中标通知书或合同协议书为准。）并加盖供应商公章</w:t>
      </w:r>
      <w:r>
        <w:rPr>
          <w:rFonts w:hint="eastAsia" w:ascii="宋体" w:hAnsi="宋体" w:eastAsia="宋体" w:cs="宋体"/>
          <w:color w:val="auto"/>
          <w:sz w:val="24"/>
          <w:szCs w:val="24"/>
          <w:highlight w:val="none"/>
        </w:rPr>
        <w:t>。</w:t>
      </w:r>
    </w:p>
    <w:p w14:paraId="427FEB4F">
      <w:pPr>
        <w:pStyle w:val="4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3.7供应商自2022年1月1日至今未被依法暂停或者取消投标资格；未被责令停产停业、暂扣或者吊销许可证、暂扣或者吊销执照；未进入清算程序或被宣告破产或其他丧失履约能力的情形。(由供应商以承诺书的方式进行承诺)</w:t>
      </w:r>
      <w:r>
        <w:rPr>
          <w:rFonts w:hint="eastAsia" w:ascii="宋体" w:hAnsi="宋体" w:eastAsia="宋体" w:cs="宋体"/>
          <w:color w:val="auto"/>
          <w:sz w:val="24"/>
          <w:szCs w:val="24"/>
          <w:highlight w:val="none"/>
        </w:rPr>
        <w:t>。</w:t>
      </w:r>
    </w:p>
    <w:p w14:paraId="59921249">
      <w:pPr>
        <w:pStyle w:val="4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3.8供应商应当具有良好的商业与社会信誉，未被列入“信用中国”网站（www.creditchina.gov.cn）的“失信被执行人”及“重大税收违法失信主体”名单。（由招标代理机构在评标前查询并留存）</w:t>
      </w:r>
      <w:r>
        <w:rPr>
          <w:rFonts w:hint="eastAsia" w:ascii="宋体" w:hAnsi="宋体" w:eastAsia="宋体" w:cs="宋体"/>
          <w:color w:val="auto"/>
          <w:sz w:val="24"/>
          <w:szCs w:val="24"/>
          <w:highlight w:val="none"/>
        </w:rPr>
        <w:t>。</w:t>
      </w:r>
    </w:p>
    <w:p w14:paraId="6DBEBD7C">
      <w:pPr>
        <w:pStyle w:val="43"/>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AUTOTEXT  input425 \* MERGEFORMAT </w:instrText>
      </w:r>
      <w:r>
        <w:rPr>
          <w:rFonts w:hint="eastAsia" w:ascii="宋体" w:hAnsi="宋体" w:eastAsia="宋体" w:cs="宋体"/>
          <w:color w:val="auto"/>
          <w:sz w:val="24"/>
          <w:szCs w:val="24"/>
          <w:highlight w:val="none"/>
        </w:rPr>
        <w:fldChar w:fldCharType="end"/>
      </w:r>
    </w:p>
    <w:p w14:paraId="25EC6D4A">
      <w:pPr>
        <w:spacing w:line="360" w:lineRule="auto"/>
        <w:ind w:firstLine="420" w:firstLineChars="0"/>
        <w:outlineLvl w:val="1"/>
        <w:rPr>
          <w:rFonts w:hint="eastAsia" w:ascii="宋体" w:hAnsi="宋体" w:eastAsia="宋体" w:cs="宋体"/>
          <w:color w:val="auto"/>
          <w:sz w:val="24"/>
          <w:szCs w:val="24"/>
          <w:highlight w:val="none"/>
        </w:rPr>
      </w:pPr>
      <w:bookmarkStart w:id="40" w:name="_Toc5691"/>
      <w:bookmarkStart w:id="41" w:name="_Toc20219"/>
      <w:bookmarkStart w:id="42" w:name="_Toc12650"/>
      <w:bookmarkStart w:id="43" w:name="_Toc29872"/>
      <w:r>
        <w:rPr>
          <w:rFonts w:hint="eastAsia" w:ascii="宋体" w:hAnsi="宋体" w:eastAsia="宋体" w:cs="宋体"/>
          <w:color w:val="auto"/>
          <w:sz w:val="28"/>
          <w:szCs w:val="28"/>
          <w:highlight w:val="none"/>
        </w:rPr>
        <w:t>4.资格审查方式：</w:t>
      </w:r>
      <w:r>
        <w:rPr>
          <w:rFonts w:hint="eastAsia" w:ascii="宋体" w:hAnsi="宋体" w:eastAsia="宋体" w:cs="宋体"/>
          <w:color w:val="auto"/>
          <w:kern w:val="2"/>
          <w:sz w:val="24"/>
          <w:szCs w:val="24"/>
          <w:highlight w:val="none"/>
        </w:rPr>
        <w:t>资格后审。</w:t>
      </w:r>
      <w:bookmarkEnd w:id="39"/>
      <w:bookmarkEnd w:id="40"/>
      <w:bookmarkEnd w:id="41"/>
      <w:bookmarkEnd w:id="42"/>
      <w:bookmarkEnd w:id="43"/>
    </w:p>
    <w:p w14:paraId="7773ED7A">
      <w:pPr>
        <w:spacing w:line="360" w:lineRule="auto"/>
        <w:ind w:firstLine="420" w:firstLineChars="0"/>
        <w:outlineLvl w:val="1"/>
        <w:rPr>
          <w:rFonts w:hint="eastAsia" w:ascii="宋体" w:hAnsi="宋体" w:eastAsia="宋体" w:cs="宋体"/>
          <w:color w:val="auto"/>
          <w:sz w:val="28"/>
          <w:szCs w:val="28"/>
          <w:highlight w:val="none"/>
        </w:rPr>
      </w:pPr>
      <w:bookmarkStart w:id="44" w:name="_Toc14985"/>
      <w:bookmarkStart w:id="45" w:name="_Toc7079"/>
      <w:bookmarkStart w:id="46" w:name="_Toc24233"/>
      <w:bookmarkStart w:id="47" w:name="_Toc19914"/>
      <w:bookmarkStart w:id="48" w:name="_Toc432792964"/>
      <w:r>
        <w:rPr>
          <w:rFonts w:hint="eastAsia" w:ascii="宋体" w:hAnsi="宋体" w:eastAsia="宋体" w:cs="宋体"/>
          <w:color w:val="auto"/>
          <w:sz w:val="28"/>
          <w:szCs w:val="28"/>
          <w:highlight w:val="none"/>
        </w:rPr>
        <w:t>5.询价文件的获取</w:t>
      </w:r>
      <w:bookmarkEnd w:id="44"/>
      <w:bookmarkEnd w:id="45"/>
      <w:bookmarkEnd w:id="46"/>
      <w:bookmarkEnd w:id="47"/>
      <w:bookmarkEnd w:id="48"/>
    </w:p>
    <w:p w14:paraId="6C7A606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49" w:name="_Toc318358535"/>
      <w:bookmarkStart w:id="50" w:name="_Toc324973000"/>
      <w:bookmarkStart w:id="51" w:name="_Toc328561063"/>
      <w:bookmarkStart w:id="52" w:name="_Toc325123783"/>
      <w:r>
        <w:rPr>
          <w:rFonts w:hint="eastAsia" w:ascii="宋体" w:hAnsi="宋体" w:eastAsia="宋体" w:cs="宋体"/>
          <w:color w:val="auto"/>
          <w:sz w:val="24"/>
          <w:szCs w:val="24"/>
          <w:highlight w:val="none"/>
        </w:rPr>
        <w:t>5.1凡有意参加询价响应的申请人，请于</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rPr>
        <w:t>日（法定公休日，法定节假日除外），每天上午</w:t>
      </w:r>
      <w:r>
        <w:rPr>
          <w:rFonts w:hint="eastAsia" w:ascii="宋体" w:hAnsi="宋体" w:eastAsia="宋体" w:cs="宋体"/>
          <w:color w:val="auto"/>
          <w:sz w:val="24"/>
          <w:szCs w:val="24"/>
          <w:highlight w:val="none"/>
          <w:u w:val="single"/>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11</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分，下午</w:t>
      </w:r>
      <w:r>
        <w:rPr>
          <w:rFonts w:hint="eastAsia" w:ascii="宋体" w:hAnsi="宋体" w:eastAsia="宋体" w:cs="宋体"/>
          <w:color w:val="auto"/>
          <w:sz w:val="24"/>
          <w:szCs w:val="24"/>
          <w:highlight w:val="none"/>
          <w:u w:val="single"/>
        </w:rPr>
        <w:t>13</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分(北京时间，下同)，采用以下任意一种方式获取</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w:t>
      </w:r>
    </w:p>
    <w:p w14:paraId="319BFFB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①现场获取：携带法定代表人（合伙人）身份证明书原件、授权委托书原件、授权委托人身份证原件到云南国旭建设工程招标咨询有限公司（云南省昆明市官渡区春城路62号证券大厦附楼7楼777室）获取</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w:t>
      </w:r>
    </w:p>
    <w:p w14:paraId="09A5E21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网上获取：将法定代表人（合伙人）身份证明书、授权委托书、授权委托人身份证的复印件发送至709831885@qq.com邮箱并联系招标代理机构工作人员获取报名表、回传报名表，招标代理机构确认后，可将文件费用转至招标代理机构对公账户，回传缴费凭证后，招标文件将通过报名邮箱及时发出。（邮件发送时应注明项目名称、招标编号、单位名称、联系人、联系电话、开票信息）。</w:t>
      </w:r>
    </w:p>
    <w:p w14:paraId="63BD8043">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val="en-US" w:eastAsia="zh-CN" w:bidi="ar-SA"/>
        </w:rPr>
        <w:t>5.2询价文件每套售价</w:t>
      </w:r>
      <w:r>
        <w:rPr>
          <w:rFonts w:hint="eastAsia"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00.00元，售后不退；询价文件费用的缴纳，只能采用公对公转账（不接受私人对公转账）或者现金缴纳的方式；也不提供邮购询价文件服务。</w:t>
      </w:r>
    </w:p>
    <w:p w14:paraId="0EE14E78">
      <w:pPr>
        <w:spacing w:line="360" w:lineRule="auto"/>
        <w:ind w:firstLine="420" w:firstLineChars="0"/>
        <w:outlineLvl w:val="1"/>
        <w:rPr>
          <w:rFonts w:hint="eastAsia" w:ascii="宋体" w:hAnsi="宋体" w:eastAsia="宋体" w:cs="宋体"/>
          <w:color w:val="auto"/>
          <w:sz w:val="28"/>
          <w:szCs w:val="28"/>
          <w:highlight w:val="none"/>
        </w:rPr>
      </w:pPr>
      <w:bookmarkStart w:id="53" w:name="_Toc324972999"/>
      <w:bookmarkStart w:id="54" w:name="_Toc22099"/>
      <w:bookmarkStart w:id="55" w:name="_Toc328561062"/>
      <w:bookmarkStart w:id="56" w:name="_Toc5359"/>
      <w:bookmarkStart w:id="57" w:name="_Toc4718"/>
      <w:bookmarkStart w:id="58" w:name="_Toc432792965"/>
      <w:bookmarkStart w:id="59" w:name="_Toc325123782"/>
      <w:bookmarkStart w:id="60" w:name="_Toc28701"/>
      <w:bookmarkStart w:id="61" w:name="_Toc318358534"/>
      <w:bookmarkStart w:id="62" w:name="_Toc23659"/>
      <w:r>
        <w:rPr>
          <w:rFonts w:hint="eastAsia" w:ascii="宋体" w:hAnsi="宋体" w:eastAsia="宋体" w:cs="宋体"/>
          <w:color w:val="auto"/>
          <w:sz w:val="28"/>
          <w:szCs w:val="28"/>
          <w:highlight w:val="none"/>
        </w:rPr>
        <w:t>6.响应文件的递交</w:t>
      </w:r>
      <w:bookmarkEnd w:id="53"/>
      <w:bookmarkEnd w:id="54"/>
      <w:bookmarkEnd w:id="55"/>
      <w:bookmarkEnd w:id="56"/>
      <w:bookmarkEnd w:id="57"/>
      <w:bookmarkEnd w:id="58"/>
      <w:bookmarkEnd w:id="59"/>
      <w:bookmarkEnd w:id="60"/>
      <w:bookmarkEnd w:id="61"/>
      <w:bookmarkEnd w:id="62"/>
    </w:p>
    <w:p w14:paraId="3AC8EA8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6.1询价响应文件的递交方式为</w:t>
      </w:r>
      <w:r>
        <w:rPr>
          <w:rFonts w:hint="eastAsia" w:ascii="宋体" w:hAnsi="宋体" w:eastAsia="宋体" w:cs="宋体"/>
          <w:color w:val="auto"/>
          <w:sz w:val="24"/>
          <w:szCs w:val="24"/>
          <w:highlight w:val="none"/>
          <w:u w:val="single"/>
        </w:rPr>
        <w:t>现场递交</w:t>
      </w:r>
      <w:r>
        <w:rPr>
          <w:rFonts w:hint="eastAsia" w:ascii="宋体" w:hAnsi="宋体" w:eastAsia="宋体" w:cs="宋体"/>
          <w:color w:val="auto"/>
          <w:sz w:val="24"/>
          <w:szCs w:val="24"/>
          <w:highlight w:val="none"/>
        </w:rPr>
        <w:t>。</w:t>
      </w:r>
    </w:p>
    <w:p w14:paraId="2450D0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6.2响应文件递交的截止时间为年</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分，地点为：</w:t>
      </w:r>
      <w:r>
        <w:rPr>
          <w:rFonts w:hint="eastAsia" w:ascii="宋体" w:hAnsi="宋体" w:eastAsia="宋体" w:cs="宋体"/>
          <w:color w:val="auto"/>
          <w:sz w:val="24"/>
          <w:szCs w:val="24"/>
          <w:highlight w:val="none"/>
          <w:u w:val="single"/>
          <w:lang w:val="en-US" w:eastAsia="zh-CN"/>
        </w:rPr>
        <w:t xml:space="preserve"> 云南国旭建设工程招标咨询有限公司（云南省昆明市官渡区春城路62号证券大厦附楼7楼）</w:t>
      </w:r>
      <w:r>
        <w:rPr>
          <w:rFonts w:hint="eastAsia" w:ascii="宋体" w:hAnsi="宋体" w:cs="宋体"/>
          <w:color w:val="auto"/>
          <w:sz w:val="24"/>
          <w:szCs w:val="24"/>
          <w:highlight w:val="none"/>
          <w:u w:val="single"/>
          <w:lang w:val="en-US" w:eastAsia="zh-CN"/>
        </w:rPr>
        <w:t>666</w:t>
      </w:r>
      <w:r>
        <w:rPr>
          <w:rFonts w:hint="eastAsia" w:ascii="宋体" w:hAnsi="宋体" w:eastAsia="宋体" w:cs="宋体"/>
          <w:color w:val="auto"/>
          <w:sz w:val="24"/>
          <w:szCs w:val="24"/>
          <w:highlight w:val="none"/>
          <w:u w:val="single"/>
          <w:lang w:val="en-US" w:eastAsia="zh-CN"/>
        </w:rPr>
        <w:t>会议室</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逾期送达或者未送达指定地点的响应文件，采购人将不予受理</w:t>
      </w:r>
      <w:r>
        <w:rPr>
          <w:rFonts w:hint="eastAsia" w:ascii="宋体" w:hAnsi="宋体" w:eastAsia="宋体" w:cs="宋体"/>
          <w:color w:val="auto"/>
          <w:sz w:val="24"/>
          <w:szCs w:val="24"/>
          <w:highlight w:val="none"/>
          <w:lang w:eastAsia="zh-CN"/>
        </w:rPr>
        <w:t>。</w:t>
      </w:r>
    </w:p>
    <w:p w14:paraId="464C73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本项目的</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将于上述响应文件递交截止的同一时间同一地点进行，各申请人的法定代表人（合伙人）或其授权代理人应准时参加。</w:t>
      </w:r>
    </w:p>
    <w:p w14:paraId="51AD2C96">
      <w:pPr>
        <w:spacing w:line="360" w:lineRule="auto"/>
        <w:ind w:firstLine="420" w:firstLineChars="0"/>
        <w:outlineLvl w:val="1"/>
        <w:rPr>
          <w:rFonts w:hint="eastAsia" w:ascii="宋体" w:hAnsi="宋体" w:eastAsia="宋体" w:cs="宋体"/>
          <w:color w:val="auto"/>
          <w:sz w:val="28"/>
          <w:szCs w:val="28"/>
          <w:highlight w:val="none"/>
        </w:rPr>
      </w:pPr>
      <w:bookmarkStart w:id="63" w:name="_Toc25529"/>
      <w:bookmarkStart w:id="64" w:name="_Toc6123"/>
      <w:bookmarkStart w:id="65" w:name="_Toc29418"/>
      <w:bookmarkStart w:id="66" w:name="_Toc20155"/>
      <w:r>
        <w:rPr>
          <w:rFonts w:hint="eastAsia" w:ascii="宋体" w:hAnsi="宋体" w:eastAsia="宋体" w:cs="宋体"/>
          <w:color w:val="auto"/>
          <w:sz w:val="28"/>
          <w:szCs w:val="28"/>
          <w:highlight w:val="none"/>
        </w:rPr>
        <w:t>7.发布公告的媒介</w:t>
      </w:r>
      <w:bookmarkEnd w:id="63"/>
      <w:bookmarkEnd w:id="64"/>
      <w:bookmarkEnd w:id="65"/>
      <w:bookmarkEnd w:id="66"/>
    </w:p>
    <w:bookmarkEnd w:id="49"/>
    <w:bookmarkEnd w:id="50"/>
    <w:bookmarkEnd w:id="51"/>
    <w:bookmarkEnd w:id="52"/>
    <w:p w14:paraId="27A26FA0">
      <w:pPr>
        <w:spacing w:line="360" w:lineRule="auto"/>
        <w:ind w:firstLine="480" w:firstLineChars="200"/>
        <w:outlineLvl w:val="1"/>
        <w:rPr>
          <w:rFonts w:hint="eastAsia" w:ascii="宋体" w:hAnsi="宋体" w:eastAsia="宋体" w:cs="宋体"/>
          <w:color w:val="auto"/>
          <w:sz w:val="24"/>
          <w:szCs w:val="24"/>
          <w:highlight w:val="none"/>
        </w:rPr>
      </w:pPr>
      <w:bookmarkStart w:id="67" w:name="_Toc328561064"/>
      <w:bookmarkStart w:id="68" w:name="_Toc318358536"/>
      <w:bookmarkStart w:id="69" w:name="_Toc27544"/>
      <w:bookmarkStart w:id="70" w:name="_Toc19710"/>
      <w:bookmarkStart w:id="71" w:name="_Toc30940"/>
      <w:bookmarkStart w:id="72" w:name="_Toc31473"/>
      <w:bookmarkStart w:id="73" w:name="_Toc324973001"/>
      <w:bookmarkStart w:id="74" w:name="_Toc432792966"/>
      <w:bookmarkStart w:id="75" w:name="_Toc19619"/>
      <w:bookmarkStart w:id="76" w:name="_Toc325123784"/>
      <w:r>
        <w:rPr>
          <w:rFonts w:hint="eastAsia" w:ascii="宋体" w:hAnsi="宋体" w:eastAsia="宋体" w:cs="宋体"/>
          <w:color w:val="auto"/>
          <w:sz w:val="24"/>
          <w:szCs w:val="24"/>
          <w:highlight w:val="none"/>
        </w:rPr>
        <w:t>本次询价公告同时在昆明安保（集团）有限责任公司官网（https://www.kmabjt.com/）、中国招标投标公共服务平台（http://www.cebpubservice.com/）、智慧云上云招投标平台（https://www.zhysy.com）、云采招阳（https://www.ebidcn.com）上发布，对在其他网站或媒体转载的公告及公告内容采购人不承担任何责任。询价文件如有变更或澄清将在询价公告发布平台或以书面形式发布。</w:t>
      </w:r>
    </w:p>
    <w:p w14:paraId="5EBFAD3A">
      <w:pPr>
        <w:spacing w:line="360" w:lineRule="auto"/>
        <w:ind w:firstLine="560" w:firstLineChars="200"/>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8.联系方式</w:t>
      </w:r>
      <w:bookmarkEnd w:id="67"/>
      <w:bookmarkEnd w:id="68"/>
      <w:bookmarkEnd w:id="69"/>
      <w:bookmarkEnd w:id="70"/>
      <w:bookmarkEnd w:id="71"/>
      <w:bookmarkEnd w:id="72"/>
      <w:bookmarkEnd w:id="73"/>
      <w:bookmarkEnd w:id="74"/>
      <w:bookmarkEnd w:id="75"/>
      <w:bookmarkEnd w:id="76"/>
    </w:p>
    <w:p w14:paraId="23EEA7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昆明安保（集团）有限责任公司</w:t>
      </w:r>
    </w:p>
    <w:p w14:paraId="72064D4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地址：昆明市官渡区宝海路121号宝海新苑D栋</w:t>
      </w:r>
    </w:p>
    <w:p w14:paraId="7B22CB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联系人：黄艳艳</w:t>
      </w:r>
    </w:p>
    <w:p w14:paraId="5E7801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电话：13648851854</w:t>
      </w:r>
    </w:p>
    <w:p w14:paraId="6C9A9A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4180471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招标代理机构：云南国旭建设工程招标咨询有限公司</w:t>
      </w:r>
    </w:p>
    <w:p w14:paraId="03DE8DB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地址：云南省昆明市官渡区春城路62号证券大厦附楼7楼</w:t>
      </w:r>
    </w:p>
    <w:p w14:paraId="2294A6B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联系人：石光明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包效民、</w:t>
      </w:r>
      <w:r>
        <w:rPr>
          <w:rFonts w:hint="eastAsia" w:ascii="宋体" w:hAnsi="宋体" w:eastAsia="宋体" w:cs="宋体"/>
          <w:color w:val="auto"/>
          <w:sz w:val="24"/>
          <w:szCs w:val="24"/>
          <w:highlight w:val="none"/>
        </w:rPr>
        <w:t>钟娟玲、姚春玲、张进文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李永辉</w:t>
      </w:r>
      <w:bookmarkStart w:id="222" w:name="_GoBack"/>
      <w:bookmarkEnd w:id="222"/>
    </w:p>
    <w:p w14:paraId="60CB11B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电话：0871-65823456</w:t>
      </w:r>
      <w:r>
        <w:rPr>
          <w:rFonts w:hint="eastAsia" w:ascii="宋体" w:hAnsi="宋体" w:cs="宋体"/>
          <w:color w:val="auto"/>
          <w:sz w:val="24"/>
          <w:szCs w:val="24"/>
          <w:highlight w:val="none"/>
          <w:lang w:val="en-US" w:eastAsia="zh-CN"/>
        </w:rPr>
        <w:t>、19988554888、</w:t>
      </w:r>
      <w:r>
        <w:rPr>
          <w:rFonts w:hint="eastAsia" w:ascii="宋体" w:hAnsi="宋体" w:eastAsia="宋体" w:cs="宋体"/>
          <w:color w:val="auto"/>
          <w:sz w:val="24"/>
          <w:szCs w:val="24"/>
          <w:highlight w:val="none"/>
          <w:lang w:val="en-US" w:eastAsia="zh-CN"/>
        </w:rPr>
        <w:t>15388888176</w:t>
      </w:r>
    </w:p>
    <w:p w14:paraId="0085A2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开户名：云南国旭建设工程招标咨询有限公司</w:t>
      </w:r>
    </w:p>
    <w:p w14:paraId="053F469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开户银行：中国工商银行昆明世纪城支行</w:t>
      </w:r>
    </w:p>
    <w:p w14:paraId="4D4BAA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sz w:val="24"/>
          <w:szCs w:val="24"/>
          <w:highlight w:val="none"/>
        </w:rPr>
        <w:t>账号：2502045109000114153</w:t>
      </w:r>
    </w:p>
    <w:p w14:paraId="01686A9D">
      <w:pPr>
        <w:keepNext w:val="0"/>
        <w:keepLines w:val="0"/>
        <w:pageBreakBefore w:val="0"/>
        <w:widowControl/>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77" w:name="_Toc20498"/>
      <w:r>
        <w:rPr>
          <w:rFonts w:hint="eastAsia" w:ascii="宋体" w:hAnsi="宋体" w:eastAsia="宋体" w:cs="宋体"/>
          <w:color w:val="auto"/>
          <w:sz w:val="36"/>
          <w:szCs w:val="36"/>
          <w:highlight w:val="none"/>
        </w:rPr>
        <w:t>第二章</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申请人须知</w:t>
      </w:r>
      <w:bookmarkEnd w:id="7"/>
      <w:bookmarkEnd w:id="77"/>
    </w:p>
    <w:p w14:paraId="76AAC31F">
      <w:pPr>
        <w:pStyle w:val="3"/>
        <w:spacing w:before="0" w:after="0" w:line="520" w:lineRule="exact"/>
        <w:jc w:val="center"/>
        <w:rPr>
          <w:rFonts w:hint="eastAsia" w:ascii="宋体" w:hAnsi="宋体" w:eastAsia="宋体" w:cs="宋体"/>
          <w:b w:val="0"/>
          <w:bCs w:val="0"/>
          <w:color w:val="auto"/>
          <w:highlight w:val="none"/>
        </w:rPr>
      </w:pPr>
      <w:bookmarkStart w:id="78" w:name="_Toc22983"/>
      <w:bookmarkStart w:id="79" w:name="_Toc7675"/>
      <w:bookmarkStart w:id="80" w:name="_Toc30691"/>
      <w:r>
        <w:rPr>
          <w:rFonts w:hint="eastAsia" w:ascii="宋体" w:hAnsi="宋体" w:eastAsia="宋体" w:cs="宋体"/>
          <w:b w:val="0"/>
          <w:bCs w:val="0"/>
          <w:color w:val="auto"/>
          <w:highlight w:val="none"/>
        </w:rPr>
        <w:t>1.询价文件</w:t>
      </w:r>
      <w:bookmarkEnd w:id="78"/>
      <w:bookmarkEnd w:id="79"/>
      <w:bookmarkEnd w:id="80"/>
    </w:p>
    <w:p w14:paraId="6E22F4E5">
      <w:pPr>
        <w:pStyle w:val="41"/>
        <w:spacing w:line="360" w:lineRule="auto"/>
        <w:rPr>
          <w:rFonts w:hint="eastAsia" w:ascii="宋体" w:hAnsi="宋体" w:eastAsia="宋体" w:cs="宋体"/>
          <w:color w:val="auto"/>
          <w:kern w:val="0"/>
          <w:sz w:val="28"/>
          <w:szCs w:val="28"/>
          <w:highlight w:val="none"/>
        </w:rPr>
      </w:pPr>
      <w:bookmarkStart w:id="81" w:name="_Toc32101"/>
      <w:bookmarkStart w:id="82" w:name="_Toc16753"/>
      <w:r>
        <w:rPr>
          <w:rFonts w:hint="eastAsia" w:ascii="宋体" w:hAnsi="宋体" w:eastAsia="宋体" w:cs="宋体"/>
          <w:color w:val="auto"/>
          <w:kern w:val="0"/>
          <w:sz w:val="28"/>
          <w:szCs w:val="28"/>
          <w:highlight w:val="none"/>
        </w:rPr>
        <w:t>1.1询价文件的组成</w:t>
      </w:r>
      <w:bookmarkEnd w:id="81"/>
      <w:bookmarkEnd w:id="82"/>
    </w:p>
    <w:p w14:paraId="7D577CF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询价邀请书</w:t>
      </w:r>
    </w:p>
    <w:p w14:paraId="150903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申请人须知</w:t>
      </w:r>
    </w:p>
    <w:p w14:paraId="108EB8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评审办法</w:t>
      </w:r>
    </w:p>
    <w:p w14:paraId="1E382E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采购需求</w:t>
      </w:r>
    </w:p>
    <w:p w14:paraId="59AE5D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合同条款及格式</w:t>
      </w:r>
    </w:p>
    <w:p w14:paraId="4C5A17B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第六章 响应文件格式</w:t>
      </w:r>
    </w:p>
    <w:p w14:paraId="7F1DC93C">
      <w:pPr>
        <w:pStyle w:val="41"/>
        <w:spacing w:line="360" w:lineRule="auto"/>
        <w:rPr>
          <w:rFonts w:hint="eastAsia" w:ascii="宋体" w:hAnsi="宋体" w:eastAsia="宋体" w:cs="宋体"/>
          <w:color w:val="auto"/>
          <w:kern w:val="0"/>
          <w:sz w:val="28"/>
          <w:szCs w:val="28"/>
          <w:highlight w:val="none"/>
        </w:rPr>
      </w:pPr>
      <w:bookmarkStart w:id="83" w:name="_Toc23018"/>
      <w:bookmarkStart w:id="84" w:name="_Toc16133"/>
      <w:r>
        <w:rPr>
          <w:rFonts w:hint="eastAsia" w:ascii="宋体" w:hAnsi="宋体" w:eastAsia="宋体" w:cs="宋体"/>
          <w:color w:val="auto"/>
          <w:kern w:val="0"/>
          <w:sz w:val="28"/>
          <w:szCs w:val="28"/>
          <w:highlight w:val="none"/>
        </w:rPr>
        <w:t>1.2询价文件的澄清及修改</w:t>
      </w:r>
      <w:bookmarkEnd w:id="83"/>
      <w:bookmarkEnd w:id="84"/>
    </w:p>
    <w:p w14:paraId="05EFC6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申请人应仔细阅读和检查询价文件的全部内容。如发现缺页或附件不全，应及时向采购人提出，以便补齐。如有疑问，应在递交响应文件截止时间1个工作日之前以书面形式（包括信函、电报、传真等可以有形地表现所载内容的形式，下同）要求采购人对询价文件予以澄清。</w:t>
      </w:r>
    </w:p>
    <w:p w14:paraId="26F3601D">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递交响应文件截止时间前，采购人可以对已发出的询价文件进行必要的澄清或者修改。采购人将澄清或者修改的内容以书面形式通知所有按本询价文件规定的方式获取询价文件的申请人，通知的时间距提交响应文件截止之日</w:t>
      </w:r>
      <w:r>
        <w:rPr>
          <w:rFonts w:hint="eastAsia" w:ascii="宋体" w:hAnsi="宋体" w:eastAsia="宋体" w:cs="宋体"/>
          <w:color w:val="auto"/>
          <w:sz w:val="24"/>
          <w:szCs w:val="24"/>
          <w:highlight w:val="none"/>
          <w:u w:val="single"/>
        </w:rPr>
        <w:t>不足3日</w:t>
      </w:r>
      <w:r>
        <w:rPr>
          <w:rFonts w:hint="eastAsia" w:ascii="宋体" w:hAnsi="宋体" w:eastAsia="宋体" w:cs="宋体"/>
          <w:color w:val="auto"/>
          <w:sz w:val="24"/>
          <w:szCs w:val="24"/>
          <w:highlight w:val="none"/>
        </w:rPr>
        <w:t>，并且澄清或者修改的内容可能影响响应文件编制的，将相应延长提交响应文件的截止时间。</w:t>
      </w:r>
    </w:p>
    <w:p w14:paraId="1D5D87E3">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1.2.3申请人在收到澄清或者修改的通知后，应以书面形式确认已收到该澄清或者修改的通知，如未书面回复采购人视为默认已收到。</w:t>
      </w:r>
    </w:p>
    <w:p w14:paraId="04C2B6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1.2.4除非采购人认为确有必要答复，否则，采购人有权拒绝回复申请人在本章第1.1.1项规定的时间后的任何澄清要求。</w:t>
      </w:r>
    </w:p>
    <w:p w14:paraId="4BEC08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1.2.5采购人对询价文件所作的澄清、修改，以书面形式发出的答疑书、补遗书或补充通知等属于询价文件的组成部分。</w:t>
      </w:r>
    </w:p>
    <w:p w14:paraId="7FBE95FD">
      <w:pPr>
        <w:pStyle w:val="3"/>
        <w:spacing w:before="0" w:after="0" w:line="360" w:lineRule="auto"/>
        <w:jc w:val="center"/>
        <w:rPr>
          <w:rFonts w:hint="eastAsia" w:ascii="宋体" w:hAnsi="宋体" w:eastAsia="宋体" w:cs="宋体"/>
          <w:b w:val="0"/>
          <w:bCs w:val="0"/>
          <w:color w:val="auto"/>
          <w:highlight w:val="none"/>
        </w:rPr>
      </w:pPr>
      <w:bookmarkStart w:id="85" w:name="_Toc152047211"/>
      <w:bookmarkStart w:id="86" w:name="_Toc179715704"/>
      <w:bookmarkStart w:id="87" w:name="_Toc144974415"/>
      <w:bookmarkStart w:id="88" w:name="_Toc3067"/>
      <w:bookmarkStart w:id="89" w:name="_Toc901"/>
      <w:bookmarkStart w:id="90" w:name="_Toc12739"/>
      <w:bookmarkStart w:id="91" w:name="_Toc21771"/>
      <w:bookmarkStart w:id="92" w:name="_Toc432792970"/>
      <w:r>
        <w:rPr>
          <w:rFonts w:hint="eastAsia" w:ascii="宋体" w:hAnsi="宋体" w:eastAsia="宋体" w:cs="宋体"/>
          <w:b w:val="0"/>
          <w:bCs w:val="0"/>
          <w:color w:val="auto"/>
          <w:highlight w:val="none"/>
        </w:rPr>
        <w:t>2.</w:t>
      </w:r>
      <w:bookmarkEnd w:id="85"/>
      <w:bookmarkEnd w:id="86"/>
      <w:bookmarkEnd w:id="87"/>
      <w:r>
        <w:rPr>
          <w:rFonts w:hint="eastAsia" w:ascii="宋体" w:hAnsi="宋体" w:eastAsia="宋体" w:cs="宋体"/>
          <w:b w:val="0"/>
          <w:bCs w:val="0"/>
          <w:color w:val="auto"/>
          <w:highlight w:val="none"/>
        </w:rPr>
        <w:t>响应文件</w:t>
      </w:r>
      <w:bookmarkEnd w:id="88"/>
      <w:bookmarkEnd w:id="89"/>
      <w:bookmarkEnd w:id="90"/>
      <w:bookmarkEnd w:id="91"/>
      <w:bookmarkEnd w:id="92"/>
    </w:p>
    <w:p w14:paraId="6B1CF579">
      <w:pPr>
        <w:pStyle w:val="41"/>
        <w:spacing w:line="360" w:lineRule="auto"/>
        <w:rPr>
          <w:rFonts w:hint="eastAsia" w:ascii="宋体" w:hAnsi="宋体" w:eastAsia="宋体" w:cs="宋体"/>
          <w:color w:val="auto"/>
          <w:kern w:val="0"/>
          <w:sz w:val="28"/>
          <w:szCs w:val="28"/>
          <w:highlight w:val="none"/>
        </w:rPr>
      </w:pPr>
      <w:bookmarkStart w:id="93" w:name="_Toc6979"/>
      <w:bookmarkStart w:id="94" w:name="_Toc29324"/>
      <w:r>
        <w:rPr>
          <w:rFonts w:hint="eastAsia" w:ascii="宋体" w:hAnsi="宋体" w:eastAsia="宋体" w:cs="宋体"/>
          <w:color w:val="auto"/>
          <w:kern w:val="0"/>
          <w:sz w:val="28"/>
          <w:szCs w:val="28"/>
          <w:highlight w:val="none"/>
        </w:rPr>
        <w:t>2.1报价</w:t>
      </w:r>
      <w:bookmarkEnd w:id="93"/>
      <w:bookmarkEnd w:id="94"/>
    </w:p>
    <w:p w14:paraId="2362FED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2.1.1本项目以</w:t>
      </w:r>
      <w:r>
        <w:rPr>
          <w:rFonts w:hint="eastAsia" w:ascii="宋体" w:hAnsi="宋体" w:cs="宋体"/>
          <w:b/>
          <w:bCs/>
          <w:color w:val="auto"/>
          <w:sz w:val="24"/>
          <w:szCs w:val="24"/>
          <w:highlight w:val="none"/>
          <w:lang w:val="en-US" w:eastAsia="zh-CN"/>
        </w:rPr>
        <w:t>含税包干价（总价）</w:t>
      </w:r>
      <w:r>
        <w:rPr>
          <w:rFonts w:hint="eastAsia" w:ascii="宋体" w:hAnsi="宋体" w:eastAsia="宋体" w:cs="宋体"/>
          <w:color w:val="auto"/>
          <w:sz w:val="24"/>
          <w:szCs w:val="24"/>
          <w:highlight w:val="none"/>
        </w:rPr>
        <w:t>方式报价。申请人自行结合本项目采购需求、市场行情、自身实力等情况，充分考虑本项目明示和暗示的一切责任和风险后进行科学合理的报价，报价应包括完成本项目全部工作所需的一切费用，包括但不限于直接成本、间接成本、税金、利润、</w:t>
      </w:r>
      <w:r>
        <w:rPr>
          <w:rFonts w:hint="eastAsia" w:ascii="宋体" w:hAnsi="宋体" w:cs="宋体"/>
          <w:color w:val="auto"/>
          <w:sz w:val="24"/>
          <w:szCs w:val="24"/>
          <w:highlight w:val="none"/>
          <w:lang w:val="en-US" w:eastAsia="zh-CN"/>
        </w:rPr>
        <w:t>运输</w:t>
      </w:r>
      <w:r>
        <w:rPr>
          <w:rFonts w:hint="eastAsia" w:ascii="宋体" w:hAnsi="宋体" w:eastAsia="宋体" w:cs="宋体"/>
          <w:color w:val="auto"/>
          <w:sz w:val="24"/>
          <w:szCs w:val="24"/>
          <w:highlight w:val="none"/>
        </w:rPr>
        <w:t>等。在合同实施期间，成交</w:t>
      </w:r>
      <w:r>
        <w:rPr>
          <w:rFonts w:hint="eastAsia" w:ascii="宋体" w:hAnsi="宋体" w:cs="宋体"/>
          <w:color w:val="auto"/>
          <w:sz w:val="24"/>
          <w:szCs w:val="24"/>
          <w:highlight w:val="none"/>
          <w:lang w:val="en-US" w:eastAsia="zh-CN"/>
        </w:rPr>
        <w:t>下浮率</w:t>
      </w:r>
      <w:r>
        <w:rPr>
          <w:rFonts w:hint="eastAsia" w:ascii="宋体" w:hAnsi="宋体" w:eastAsia="宋体" w:cs="宋体"/>
          <w:color w:val="auto"/>
          <w:sz w:val="24"/>
          <w:szCs w:val="24"/>
          <w:highlight w:val="none"/>
        </w:rPr>
        <w:t>不因国家政策或法规、标准及市场因素的变化而调整，也不因具体承担服务内容和工作量的调整而调整。由于申请人填报不完整、不清楚或存在其它失误导致的任何不利后果均由申请人自行承担。</w:t>
      </w:r>
    </w:p>
    <w:p w14:paraId="2C3324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2.1.2报价</w:t>
      </w:r>
      <w:r>
        <w:rPr>
          <w:rFonts w:hint="eastAsia" w:ascii="宋体" w:hAnsi="宋体" w:cs="宋体"/>
          <w:color w:val="auto"/>
          <w:sz w:val="24"/>
          <w:szCs w:val="24"/>
          <w:highlight w:val="none"/>
          <w:lang w:val="en-US" w:eastAsia="zh-CN"/>
        </w:rPr>
        <w:t>计算</w:t>
      </w:r>
      <w:r>
        <w:rPr>
          <w:rFonts w:hint="eastAsia" w:ascii="宋体" w:hAnsi="宋体" w:eastAsia="宋体" w:cs="宋体"/>
          <w:color w:val="auto"/>
          <w:sz w:val="24"/>
          <w:szCs w:val="24"/>
          <w:highlight w:val="none"/>
        </w:rPr>
        <w:t>以人民币计算，以其他货币</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rPr>
        <w:t>报价的投标属无效投标。</w:t>
      </w:r>
    </w:p>
    <w:p w14:paraId="78029F76">
      <w:pPr>
        <w:pStyle w:val="10"/>
        <w:spacing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2.1.3报价不得高于第一章的最高投标限价</w:t>
      </w:r>
      <w:r>
        <w:rPr>
          <w:rFonts w:hint="eastAsia" w:ascii="宋体" w:hAnsi="宋体" w:eastAsia="宋体" w:cs="宋体"/>
          <w:color w:val="auto"/>
          <w:sz w:val="24"/>
          <w:highlight w:val="none"/>
        </w:rPr>
        <w:t>，如申请人的报价高于最高投标限价将作投标被否决处理。</w:t>
      </w:r>
    </w:p>
    <w:p w14:paraId="33798151">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.1.4本项目不允许二次报价。</w:t>
      </w:r>
    </w:p>
    <w:p w14:paraId="2BCD5B39">
      <w:pPr>
        <w:pStyle w:val="41"/>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2.2有效期</w:t>
      </w:r>
    </w:p>
    <w:p w14:paraId="393F7235">
      <w:pPr>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2.2.1有效期：自响应文件递交截止之日起，</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0日历天</w:t>
      </w:r>
    </w:p>
    <w:p w14:paraId="23DC71A5">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2.2.2在有效期内，申请人不得要求撤销或修改其响应文件。</w:t>
      </w:r>
    </w:p>
    <w:p w14:paraId="73D726CD">
      <w:pPr>
        <w:spacing w:line="360" w:lineRule="auto"/>
        <w:ind w:firstLine="540" w:firstLineChars="225"/>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2.2.3出现特殊情况需要延长有效期的，采购人以书面形式通知申请人延长有效期。申请人同意延长的，不得要求或被允许修改或撤销其响应文件；申请人拒绝延长的，其响应文件失效。</w:t>
      </w:r>
    </w:p>
    <w:p w14:paraId="771380BA">
      <w:pPr>
        <w:pStyle w:val="41"/>
        <w:spacing w:line="360" w:lineRule="auto"/>
        <w:rPr>
          <w:rFonts w:hint="eastAsia" w:ascii="宋体" w:hAnsi="宋体" w:eastAsia="宋体" w:cs="宋体"/>
          <w:color w:val="auto"/>
          <w:kern w:val="0"/>
          <w:sz w:val="28"/>
          <w:szCs w:val="28"/>
          <w:highlight w:val="none"/>
        </w:rPr>
      </w:pPr>
      <w:bookmarkStart w:id="95" w:name="_Toc28747"/>
      <w:bookmarkStart w:id="96" w:name="_Toc18396"/>
      <w:r>
        <w:rPr>
          <w:rFonts w:hint="eastAsia" w:ascii="宋体" w:hAnsi="宋体" w:eastAsia="宋体" w:cs="宋体"/>
          <w:color w:val="auto"/>
          <w:kern w:val="0"/>
          <w:sz w:val="28"/>
          <w:szCs w:val="28"/>
          <w:highlight w:val="none"/>
        </w:rPr>
        <w:t>2.3响应文件的编制</w:t>
      </w:r>
      <w:bookmarkEnd w:id="95"/>
      <w:bookmarkEnd w:id="96"/>
    </w:p>
    <w:p w14:paraId="5913C60C">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2.3.1申请人应当按照询价文件的要求编制响应文件，并对其提交的响应文件的真实性、合法性承担法律责任。</w:t>
      </w:r>
    </w:p>
    <w:p w14:paraId="7E0D1FA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2.3.2响应文件应按询价文件第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章“响应文件格式”部分的要求，由申请人的法定代表人（合伙人）或其委托代理人签字或盖章，并加盖单位公章。没有按询价文件要求签字或盖章的响应文件将被拒绝。</w:t>
      </w:r>
    </w:p>
    <w:p w14:paraId="099691C0">
      <w:pPr>
        <w:pStyle w:val="10"/>
        <w:spacing w:after="0"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2.3.3由委托代理人签字或盖章的，响应文件中应附有法定代表人（合伙人）的授权委托书，其授权委托书必须由法定代表人（合伙人）及委托代理人签字。</w:t>
      </w:r>
    </w:p>
    <w:p w14:paraId="378D9C2E">
      <w:pPr>
        <w:pStyle w:val="41"/>
        <w:spacing w:line="360" w:lineRule="auto"/>
        <w:rPr>
          <w:rFonts w:hint="eastAsia" w:ascii="宋体" w:hAnsi="宋体" w:eastAsia="宋体" w:cs="宋体"/>
          <w:color w:val="auto"/>
          <w:kern w:val="0"/>
          <w:sz w:val="28"/>
          <w:szCs w:val="28"/>
          <w:highlight w:val="none"/>
        </w:rPr>
      </w:pPr>
      <w:bookmarkStart w:id="97" w:name="_Toc15344"/>
      <w:bookmarkStart w:id="98" w:name="_Toc11128"/>
      <w:r>
        <w:rPr>
          <w:rFonts w:hint="eastAsia" w:ascii="宋体" w:hAnsi="宋体" w:eastAsia="宋体" w:cs="宋体"/>
          <w:color w:val="auto"/>
          <w:kern w:val="0"/>
          <w:sz w:val="28"/>
          <w:szCs w:val="28"/>
          <w:highlight w:val="none"/>
        </w:rPr>
        <w:t>2.4响应文件的份数</w:t>
      </w:r>
      <w:bookmarkEnd w:id="97"/>
      <w:bookmarkEnd w:id="98"/>
    </w:p>
    <w:p w14:paraId="40887AC8">
      <w:pPr>
        <w:spacing w:line="360" w:lineRule="auto"/>
        <w:ind w:firstLine="480" w:firstLineChars="2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2.4.1纸质版响应文件：</w:t>
      </w:r>
      <w:r>
        <w:rPr>
          <w:rFonts w:hint="eastAsia" w:ascii="宋体" w:hAnsi="宋体" w:eastAsia="宋体" w:cs="宋体"/>
          <w:color w:val="auto"/>
          <w:sz w:val="24"/>
          <w:szCs w:val="24"/>
          <w:highlight w:val="none"/>
          <w:u w:val="single"/>
        </w:rPr>
        <w:t>一份</w:t>
      </w: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u w:val="single"/>
        </w:rPr>
        <w:t>一份</w:t>
      </w:r>
      <w:r>
        <w:rPr>
          <w:rFonts w:hint="eastAsia" w:ascii="宋体" w:hAnsi="宋体" w:eastAsia="宋体" w:cs="宋体"/>
          <w:color w:val="auto"/>
          <w:sz w:val="24"/>
          <w:szCs w:val="24"/>
          <w:highlight w:val="none"/>
        </w:rPr>
        <w:t>副本。响应文件正本和副本的封面上应清楚地标记“正本”或“副本”的字样。当副本和正本不一致时，以正本为准。</w:t>
      </w:r>
    </w:p>
    <w:p w14:paraId="68F37888">
      <w:pPr>
        <w:pStyle w:val="1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2.4.2电子版响应文件：</w:t>
      </w:r>
      <w:r>
        <w:rPr>
          <w:rFonts w:hint="eastAsia" w:ascii="宋体" w:hAnsi="宋体" w:eastAsia="宋体" w:cs="宋体"/>
          <w:color w:val="auto"/>
          <w:sz w:val="24"/>
          <w:highlight w:val="none"/>
          <w:u w:val="single"/>
        </w:rPr>
        <w:t xml:space="preserve">  U盘或光盘1份  </w:t>
      </w:r>
      <w:r>
        <w:rPr>
          <w:rFonts w:hint="eastAsia" w:ascii="宋体" w:hAnsi="宋体" w:eastAsia="宋体" w:cs="宋体"/>
          <w:color w:val="auto"/>
          <w:sz w:val="24"/>
          <w:highlight w:val="none"/>
        </w:rPr>
        <w:t>。</w:t>
      </w:r>
    </w:p>
    <w:p w14:paraId="7F5DC824">
      <w:pPr>
        <w:pStyle w:val="41"/>
        <w:spacing w:line="360" w:lineRule="auto"/>
        <w:rPr>
          <w:rFonts w:hint="eastAsia" w:ascii="宋体" w:hAnsi="宋体" w:eastAsia="宋体" w:cs="宋体"/>
          <w:color w:val="auto"/>
          <w:kern w:val="0"/>
          <w:sz w:val="28"/>
          <w:szCs w:val="28"/>
          <w:highlight w:val="none"/>
        </w:rPr>
      </w:pPr>
      <w:bookmarkStart w:id="99" w:name="_Toc29284"/>
      <w:bookmarkStart w:id="100" w:name="_Toc5769"/>
      <w:r>
        <w:rPr>
          <w:rFonts w:hint="eastAsia" w:ascii="宋体" w:hAnsi="宋体" w:eastAsia="宋体" w:cs="宋体"/>
          <w:color w:val="auto"/>
          <w:kern w:val="0"/>
          <w:sz w:val="28"/>
          <w:szCs w:val="28"/>
          <w:highlight w:val="none"/>
        </w:rPr>
        <w:t>2.5装订及密封要求</w:t>
      </w:r>
      <w:bookmarkEnd w:id="99"/>
      <w:bookmarkEnd w:id="100"/>
    </w:p>
    <w:p w14:paraId="1C29F9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2.5.1响应文件的正本与副本应分别装订成册，并编制目录，不得采用活页夹等可随时拆换的方式装订。采购人对由于响应文件装订松散而造成的丢失或其他后果不承担任何责任。</w:t>
      </w:r>
    </w:p>
    <w:p w14:paraId="1225929B">
      <w:pPr>
        <w:widowControl w:val="0"/>
        <w:spacing w:line="360" w:lineRule="auto"/>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2.5.2响应文件的正本、副本与电子文档应统一包装在同一密封袋内，</w:t>
      </w:r>
      <w:r>
        <w:rPr>
          <w:rFonts w:hint="eastAsia" w:ascii="宋体" w:hAnsi="宋体" w:eastAsia="宋体" w:cs="宋体"/>
          <w:b/>
          <w:bCs/>
          <w:color w:val="auto"/>
          <w:sz w:val="24"/>
          <w:szCs w:val="24"/>
          <w:highlight w:val="none"/>
        </w:rPr>
        <w:t>申请人在封套的封口处加盖申请人单位公章或密封章，外层封套上写明：</w:t>
      </w:r>
    </w:p>
    <w:p w14:paraId="2A9CE150">
      <w:pPr>
        <w:widowControl w:val="0"/>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项目响应文件</w:t>
      </w:r>
    </w:p>
    <w:p w14:paraId="4EC6AAF3">
      <w:pPr>
        <w:widowControl w:val="0"/>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（2）申请人单位名称（盖章）</w:t>
      </w:r>
    </w:p>
    <w:p w14:paraId="3FDFE613">
      <w:pPr>
        <w:widowControl w:val="0"/>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（3）申请人地址</w:t>
      </w:r>
    </w:p>
    <w:p w14:paraId="2B73914F">
      <w:pPr>
        <w:widowControl w:val="0"/>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（4）在    年 月 日 时 分前不得开启</w:t>
      </w:r>
    </w:p>
    <w:p w14:paraId="7E11DA68">
      <w:pPr>
        <w:pStyle w:val="10"/>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如果响应文件没有按要求加写标记及密封，采购人不予受理。</w:t>
      </w:r>
    </w:p>
    <w:p w14:paraId="04A10ADA">
      <w:pPr>
        <w:pStyle w:val="41"/>
        <w:spacing w:line="360" w:lineRule="auto"/>
        <w:rPr>
          <w:rFonts w:hint="eastAsia" w:ascii="宋体" w:hAnsi="宋体" w:eastAsia="宋体" w:cs="宋体"/>
          <w:color w:val="auto"/>
          <w:kern w:val="0"/>
          <w:sz w:val="28"/>
          <w:szCs w:val="28"/>
          <w:highlight w:val="none"/>
        </w:rPr>
      </w:pPr>
      <w:bookmarkStart w:id="101" w:name="_Toc13551"/>
      <w:bookmarkStart w:id="102" w:name="_Toc13112"/>
      <w:r>
        <w:rPr>
          <w:rFonts w:hint="eastAsia" w:ascii="宋体" w:hAnsi="宋体" w:eastAsia="宋体" w:cs="宋体"/>
          <w:color w:val="auto"/>
          <w:kern w:val="0"/>
          <w:sz w:val="28"/>
          <w:szCs w:val="28"/>
          <w:highlight w:val="none"/>
        </w:rPr>
        <w:t>2.6响应文件的修改与撤回</w:t>
      </w:r>
      <w:bookmarkEnd w:id="101"/>
      <w:bookmarkEnd w:id="102"/>
    </w:p>
    <w:p w14:paraId="3671BE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申请人在提交响应文件截止时间前，可以对所提交的响应文件进行补充、修改或者撤回，并书面通知采购人。补充、修改的内容作为响应文件的组成部分。补充、修改的内容与响应文件不一致的，以补充、修改的内容为准。</w:t>
      </w:r>
    </w:p>
    <w:p w14:paraId="6D315DFC">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2.6.2修改的响应文件应按照询价文件的要求进行编制、密封、标记和递交，并标明“修改”字样。</w:t>
      </w:r>
    </w:p>
    <w:p w14:paraId="1F116CA7">
      <w:pPr>
        <w:pStyle w:val="3"/>
        <w:spacing w:before="0" w:after="0" w:line="360" w:lineRule="auto"/>
        <w:jc w:val="center"/>
        <w:rPr>
          <w:rFonts w:hint="eastAsia" w:ascii="宋体" w:hAnsi="宋体" w:eastAsia="宋体" w:cs="宋体"/>
          <w:b w:val="0"/>
          <w:bCs w:val="0"/>
          <w:color w:val="auto"/>
          <w:highlight w:val="none"/>
        </w:rPr>
      </w:pPr>
      <w:bookmarkStart w:id="103" w:name="_Toc432792971"/>
      <w:bookmarkStart w:id="104" w:name="_Toc16130"/>
      <w:bookmarkStart w:id="105" w:name="_Toc5913"/>
      <w:bookmarkStart w:id="106" w:name="_Toc13111"/>
      <w:bookmarkStart w:id="107" w:name="_Toc25259"/>
      <w:r>
        <w:rPr>
          <w:rFonts w:hint="eastAsia" w:ascii="宋体" w:hAnsi="宋体" w:eastAsia="宋体" w:cs="宋体"/>
          <w:b w:val="0"/>
          <w:bCs w:val="0"/>
          <w:color w:val="auto"/>
          <w:highlight w:val="none"/>
        </w:rPr>
        <w:t>3.询价</w:t>
      </w:r>
      <w:bookmarkEnd w:id="103"/>
      <w:r>
        <w:rPr>
          <w:rFonts w:hint="eastAsia" w:ascii="宋体" w:hAnsi="宋体" w:eastAsia="宋体" w:cs="宋体"/>
          <w:b w:val="0"/>
          <w:bCs w:val="0"/>
          <w:color w:val="auto"/>
          <w:highlight w:val="none"/>
        </w:rPr>
        <w:t>评审</w:t>
      </w:r>
      <w:bookmarkEnd w:id="104"/>
      <w:bookmarkEnd w:id="105"/>
      <w:bookmarkEnd w:id="106"/>
      <w:bookmarkEnd w:id="107"/>
    </w:p>
    <w:p w14:paraId="5A39AF9C">
      <w:pPr>
        <w:pStyle w:val="41"/>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3.1询价小组和监督小组</w:t>
      </w:r>
    </w:p>
    <w:p w14:paraId="06FC67B0">
      <w:pPr>
        <w:pStyle w:val="10"/>
        <w:spacing w:after="0"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3.1.1询价小组：</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人以上（含</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人）的单数组成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由采购人在专家库中随机抽取</w:t>
      </w:r>
      <w:r>
        <w:rPr>
          <w:rFonts w:hint="eastAsia" w:ascii="宋体" w:hAnsi="宋体" w:eastAsia="宋体" w:cs="宋体"/>
          <w:color w:val="auto"/>
          <w:sz w:val="24"/>
          <w:highlight w:val="none"/>
        </w:rPr>
        <w:t>。</w:t>
      </w:r>
    </w:p>
    <w:p w14:paraId="13ABAA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3.1.2询价小组成员有下列情形之一的，应当回避：</w:t>
      </w:r>
    </w:p>
    <w:p w14:paraId="5DEEB994">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（1）采购人或申请人的主要负责人的近亲属；</w:t>
      </w:r>
    </w:p>
    <w:p w14:paraId="2BE141F7">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79106213">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（3）与申请人有经济利益关系，可能影响对投标公正评审的；</w:t>
      </w:r>
    </w:p>
    <w:p w14:paraId="4923653F">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、评标以及其他与</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投标有关活动中从事违法行为而受过行政处罚或刑事处罚的。</w:t>
      </w:r>
    </w:p>
    <w:p w14:paraId="3AB04464">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rPr>
        <w:t>3.1.3询价小组成员以及与评审工作有关的人员不得泄露评审情况以及评审过程中获悉的国家秘密、商业秘密。</w:t>
      </w:r>
    </w:p>
    <w:p w14:paraId="3688D72C">
      <w:pPr>
        <w:pStyle w:val="41"/>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3.2评审原则</w:t>
      </w:r>
    </w:p>
    <w:p w14:paraId="2C7341DD">
      <w:pPr>
        <w:pStyle w:val="1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评审活动遵循公平、公正、科学和择优的原则。</w:t>
      </w:r>
    </w:p>
    <w:p w14:paraId="0B9D2FAF">
      <w:pPr>
        <w:pStyle w:val="10"/>
        <w:spacing w:after="0"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8"/>
          <w:szCs w:val="28"/>
          <w:highlight w:val="none"/>
        </w:rPr>
        <w:t>3.3评审办法：</w:t>
      </w:r>
      <w:r>
        <w:rPr>
          <w:rFonts w:hint="eastAsia" w:ascii="宋体" w:hAnsi="宋体" w:eastAsia="宋体" w:cs="宋体"/>
          <w:b/>
          <w:bCs/>
          <w:color w:val="auto"/>
          <w:sz w:val="24"/>
          <w:highlight w:val="none"/>
          <w:lang w:val="en-US" w:eastAsia="zh-CN"/>
        </w:rPr>
        <w:t>最低评标价法</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即询价小组应当从质量和服务均能满足采购文件实质性响应要求的供应商中，按照</w:t>
      </w:r>
      <w:r>
        <w:rPr>
          <w:rFonts w:hint="eastAsia" w:ascii="宋体" w:hAnsi="宋体" w:cs="宋体"/>
          <w:b/>
          <w:bCs/>
          <w:color w:val="auto"/>
          <w:sz w:val="24"/>
          <w:highlight w:val="none"/>
          <w:lang w:val="en-US" w:eastAsia="zh-CN"/>
        </w:rPr>
        <w:t>服务</w:t>
      </w:r>
      <w:r>
        <w:rPr>
          <w:rFonts w:hint="eastAsia" w:ascii="宋体" w:hAnsi="宋体" w:eastAsia="宋体" w:cs="宋体"/>
          <w:b/>
          <w:bCs/>
          <w:color w:val="auto"/>
          <w:sz w:val="24"/>
          <w:highlight w:val="none"/>
          <w:lang w:val="en-US" w:eastAsia="zh-CN"/>
        </w:rPr>
        <w:t>报价由低到高的顺序确认3名成交候选人。</w:t>
      </w:r>
    </w:p>
    <w:p w14:paraId="759A86A7">
      <w:pPr>
        <w:pStyle w:val="3"/>
        <w:spacing w:before="0" w:after="0" w:line="360" w:lineRule="auto"/>
        <w:jc w:val="center"/>
        <w:rPr>
          <w:rFonts w:hint="eastAsia" w:ascii="宋体" w:hAnsi="宋体" w:eastAsia="宋体" w:cs="宋体"/>
          <w:b w:val="0"/>
          <w:bCs w:val="0"/>
          <w:color w:val="auto"/>
          <w:highlight w:val="none"/>
        </w:rPr>
      </w:pPr>
      <w:bookmarkStart w:id="108" w:name="_Toc16135"/>
      <w:bookmarkStart w:id="109" w:name="_Toc432792972"/>
      <w:bookmarkStart w:id="110" w:name="_Toc22862"/>
      <w:bookmarkStart w:id="111" w:name="_Toc8375"/>
      <w:bookmarkStart w:id="112" w:name="_Toc18894"/>
      <w:r>
        <w:rPr>
          <w:rFonts w:hint="eastAsia" w:ascii="宋体" w:hAnsi="宋体" w:eastAsia="宋体" w:cs="宋体"/>
          <w:b w:val="0"/>
          <w:bCs w:val="0"/>
          <w:color w:val="auto"/>
          <w:highlight w:val="none"/>
        </w:rPr>
        <w:t>4.合同授予</w:t>
      </w:r>
      <w:bookmarkEnd w:id="108"/>
      <w:bookmarkEnd w:id="109"/>
      <w:bookmarkEnd w:id="110"/>
      <w:bookmarkEnd w:id="111"/>
      <w:bookmarkEnd w:id="112"/>
    </w:p>
    <w:p w14:paraId="514A5E60">
      <w:pPr>
        <w:pStyle w:val="41"/>
        <w:spacing w:line="360" w:lineRule="auto"/>
        <w:rPr>
          <w:rFonts w:hint="eastAsia" w:ascii="宋体" w:hAnsi="宋体" w:eastAsia="宋体" w:cs="宋体"/>
          <w:color w:val="auto"/>
          <w:kern w:val="0"/>
          <w:sz w:val="28"/>
          <w:szCs w:val="28"/>
          <w:highlight w:val="none"/>
        </w:rPr>
      </w:pPr>
      <w:bookmarkStart w:id="113" w:name="_Toc375869241"/>
      <w:bookmarkStart w:id="114" w:name="_Toc491932305"/>
      <w:bookmarkStart w:id="115" w:name="_Toc37421486"/>
      <w:r>
        <w:rPr>
          <w:rFonts w:hint="eastAsia" w:ascii="宋体" w:hAnsi="宋体" w:eastAsia="宋体" w:cs="宋体"/>
          <w:color w:val="auto"/>
          <w:kern w:val="0"/>
          <w:sz w:val="28"/>
          <w:szCs w:val="28"/>
          <w:highlight w:val="none"/>
        </w:rPr>
        <w:t>4.1定标方式</w:t>
      </w:r>
      <w:bookmarkEnd w:id="113"/>
    </w:p>
    <w:bookmarkEnd w:id="114"/>
    <w:bookmarkEnd w:id="115"/>
    <w:p w14:paraId="67A49A61">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采购人将按照询价小组推荐的候选人名单，确认排名第一的成交候选人作为本项目的成交供应商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若出现第一候选人放弃成交或不能履行合同或被查实存在影响成交结果的违法行为，采购人可以根据候选人推荐顺序依次确定其他成交候选人为成交人，也可以重新采购。</w:t>
      </w:r>
    </w:p>
    <w:p w14:paraId="21A7B341">
      <w:pPr>
        <w:pStyle w:val="41"/>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4.2成交通知</w:t>
      </w:r>
    </w:p>
    <w:p w14:paraId="6188A8A6">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成交人确定后，采购人以书面形式向成交人发出成交通知书。</w:t>
      </w:r>
    </w:p>
    <w:p w14:paraId="33FB260B">
      <w:pPr>
        <w:pStyle w:val="41"/>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4.3履约担保</w:t>
      </w:r>
    </w:p>
    <w:p w14:paraId="51EDB962">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4.3.1在签订合同前，成交人应按询价文件规定的金额、担保形式向采购人提交履约担保。</w:t>
      </w:r>
    </w:p>
    <w:p w14:paraId="719018F0">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4.3.2成交人不能按询价文件提交履约担保的，视为放弃成交，给采购人造成的损失的，成交人应当予以赔偿。</w:t>
      </w:r>
    </w:p>
    <w:p w14:paraId="5393852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4.4签订合同</w:t>
      </w:r>
    </w:p>
    <w:p w14:paraId="4F66CB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和成交人应当自成交通知书发出之日起30天内，根据询价文件、成交人的响应文件、成交通知书订立书面合同。成交人无正当理由拒签合同的，采购人取消其成交资格，成交人应对给采购人造成的损失予以赔偿。</w:t>
      </w:r>
    </w:p>
    <w:p w14:paraId="0B2E3D1C">
      <w:pPr>
        <w:pStyle w:val="3"/>
        <w:spacing w:before="0" w:after="0" w:line="360" w:lineRule="auto"/>
        <w:jc w:val="center"/>
        <w:rPr>
          <w:rFonts w:hint="eastAsia" w:ascii="宋体" w:hAnsi="宋体" w:eastAsia="宋体" w:cs="宋体"/>
          <w:b w:val="0"/>
          <w:bCs w:val="0"/>
          <w:color w:val="auto"/>
          <w:highlight w:val="none"/>
        </w:rPr>
      </w:pPr>
      <w:bookmarkStart w:id="116" w:name="_Toc31484"/>
      <w:bookmarkStart w:id="117" w:name="_Toc9858"/>
      <w:bookmarkStart w:id="118" w:name="_Toc20909"/>
      <w:bookmarkStart w:id="119" w:name="_Toc31925"/>
      <w:bookmarkStart w:id="120" w:name="_Toc432792973"/>
      <w:r>
        <w:rPr>
          <w:rFonts w:hint="eastAsia" w:ascii="宋体" w:hAnsi="宋体" w:eastAsia="宋体" w:cs="宋体"/>
          <w:b w:val="0"/>
          <w:bCs w:val="0"/>
          <w:color w:val="auto"/>
          <w:highlight w:val="none"/>
        </w:rPr>
        <w:t>5.重新采购</w:t>
      </w:r>
      <w:bookmarkEnd w:id="116"/>
      <w:bookmarkEnd w:id="117"/>
      <w:bookmarkEnd w:id="118"/>
    </w:p>
    <w:p w14:paraId="4D3AC050">
      <w:pPr>
        <w:pStyle w:val="6"/>
        <w:spacing w:before="0" w:after="0" w:line="360" w:lineRule="auto"/>
        <w:rPr>
          <w:rFonts w:hint="eastAsia" w:ascii="宋体" w:hAnsi="宋体" w:eastAsia="宋体" w:cs="宋体"/>
          <w:b w:val="0"/>
          <w:bCs w:val="0"/>
          <w:color w:val="auto"/>
          <w:highlight w:val="none"/>
        </w:rPr>
      </w:pPr>
      <w:bookmarkStart w:id="121" w:name="_Toc37165049"/>
      <w:bookmarkStart w:id="122" w:name="_Toc277672056"/>
      <w:bookmarkStart w:id="123" w:name="_Toc318286287"/>
      <w:bookmarkStart w:id="124" w:name="_Toc308686376"/>
      <w:bookmarkStart w:id="125" w:name="_Toc327888089"/>
      <w:bookmarkStart w:id="126" w:name="_Toc381781276"/>
      <w:r>
        <w:rPr>
          <w:rFonts w:hint="eastAsia" w:ascii="宋体" w:hAnsi="宋体" w:eastAsia="宋体" w:cs="宋体"/>
          <w:b w:val="0"/>
          <w:bCs w:val="0"/>
          <w:color w:val="auto"/>
          <w:highlight w:val="none"/>
        </w:rPr>
        <w:t>5.1有下列情形之一的，采购人将重新采购：</w:t>
      </w:r>
      <w:bookmarkEnd w:id="121"/>
    </w:p>
    <w:p w14:paraId="6B59E00C">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（1）至</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文件获取截止时间止，获取</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少于3家的； </w:t>
      </w:r>
    </w:p>
    <w:p w14:paraId="68CCDDFA">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（2）至投标截止时间止，递交</w:t>
      </w:r>
      <w:r>
        <w:rPr>
          <w:rFonts w:hint="eastAsia" w:ascii="宋体" w:hAnsi="宋体" w:cs="宋体"/>
          <w:color w:val="auto"/>
          <w:sz w:val="24"/>
          <w:szCs w:val="24"/>
          <w:highlight w:val="none"/>
          <w:lang w:eastAsia="zh-CN"/>
        </w:rPr>
        <w:t>询价响应文件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少于3家的； </w:t>
      </w:r>
      <w:bookmarkEnd w:id="122"/>
      <w:bookmarkEnd w:id="123"/>
      <w:bookmarkEnd w:id="124"/>
      <w:bookmarkEnd w:id="125"/>
      <w:bookmarkEnd w:id="126"/>
    </w:p>
    <w:bookmarkEnd w:id="119"/>
    <w:bookmarkEnd w:id="120"/>
    <w:p w14:paraId="0F6F1C01">
      <w:pPr>
        <w:pStyle w:val="4"/>
        <w:spacing w:before="0" w:after="0" w:line="360" w:lineRule="auto"/>
        <w:jc w:val="center"/>
        <w:rPr>
          <w:rFonts w:hint="eastAsia" w:ascii="宋体" w:hAnsi="宋体" w:eastAsia="宋体" w:cs="宋体"/>
          <w:b w:val="0"/>
          <w:bCs w:val="0"/>
          <w:color w:val="auto"/>
          <w:highlight w:val="none"/>
        </w:rPr>
      </w:pPr>
      <w:bookmarkStart w:id="127" w:name="_Toc29160"/>
      <w:r>
        <w:rPr>
          <w:rFonts w:hint="eastAsia" w:ascii="宋体" w:hAnsi="宋体" w:eastAsia="宋体" w:cs="宋体"/>
          <w:b w:val="0"/>
          <w:bCs w:val="0"/>
          <w:color w:val="auto"/>
          <w:highlight w:val="none"/>
        </w:rPr>
        <w:t>6.纪律和监督</w:t>
      </w:r>
    </w:p>
    <w:p w14:paraId="673A502B">
      <w:pPr>
        <w:keepNext/>
        <w:keepLines/>
        <w:spacing w:line="360" w:lineRule="auto"/>
        <w:outlineLvl w:val="3"/>
        <w:rPr>
          <w:rFonts w:hint="eastAsia" w:ascii="宋体" w:hAnsi="宋体" w:eastAsia="宋体" w:cs="宋体"/>
          <w:color w:val="auto"/>
          <w:sz w:val="28"/>
          <w:szCs w:val="28"/>
          <w:highlight w:val="none"/>
        </w:rPr>
      </w:pPr>
      <w:bookmarkStart w:id="128" w:name="_Toc375869248"/>
      <w:r>
        <w:rPr>
          <w:rFonts w:hint="eastAsia" w:ascii="宋体" w:hAnsi="宋体" w:eastAsia="宋体" w:cs="宋体"/>
          <w:color w:val="auto"/>
          <w:sz w:val="28"/>
          <w:szCs w:val="28"/>
          <w:highlight w:val="none"/>
        </w:rPr>
        <w:t>6.1对采购人的纪律要求</w:t>
      </w:r>
      <w:bookmarkEnd w:id="128"/>
    </w:p>
    <w:p w14:paraId="4E342805">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采购人不得泄漏询价活动中应当保密的情况和资料，不得与申请人串通损害国家利益、社会公共利益或者他人合法权益。</w:t>
      </w:r>
    </w:p>
    <w:p w14:paraId="67172819">
      <w:pPr>
        <w:keepNext/>
        <w:keepLines/>
        <w:spacing w:line="360" w:lineRule="auto"/>
        <w:outlineLvl w:val="3"/>
        <w:rPr>
          <w:rFonts w:hint="eastAsia" w:ascii="宋体" w:hAnsi="宋体" w:eastAsia="宋体" w:cs="宋体"/>
          <w:color w:val="auto"/>
          <w:sz w:val="28"/>
          <w:szCs w:val="28"/>
          <w:highlight w:val="none"/>
        </w:rPr>
      </w:pPr>
      <w:bookmarkStart w:id="129" w:name="_Toc375869249"/>
      <w:r>
        <w:rPr>
          <w:rFonts w:hint="eastAsia" w:ascii="宋体" w:hAnsi="宋体" w:eastAsia="宋体" w:cs="宋体"/>
          <w:color w:val="auto"/>
          <w:sz w:val="28"/>
          <w:szCs w:val="28"/>
          <w:highlight w:val="none"/>
        </w:rPr>
        <w:t>6.2对申请人的纪律要求</w:t>
      </w:r>
      <w:bookmarkEnd w:id="129"/>
    </w:p>
    <w:p w14:paraId="1B5AB078">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申请人不得相互串通或者与采购人串通，不得向采购人或者询价小组成员行贿谋取成交，不得以他人名义参与询价或者以其他方式弄虚作假骗取成交；申请人不得以任何方式干扰、影响评审工作。</w:t>
      </w:r>
    </w:p>
    <w:p w14:paraId="1DC482E0">
      <w:pPr>
        <w:keepNext/>
        <w:keepLines/>
        <w:spacing w:line="360" w:lineRule="auto"/>
        <w:outlineLvl w:val="3"/>
        <w:rPr>
          <w:rFonts w:hint="eastAsia" w:ascii="宋体" w:hAnsi="宋体" w:eastAsia="宋体" w:cs="宋体"/>
          <w:color w:val="auto"/>
          <w:sz w:val="28"/>
          <w:szCs w:val="28"/>
          <w:highlight w:val="none"/>
        </w:rPr>
      </w:pPr>
      <w:bookmarkStart w:id="130" w:name="_Toc375869250"/>
      <w:r>
        <w:rPr>
          <w:rFonts w:hint="eastAsia" w:ascii="宋体" w:hAnsi="宋体" w:eastAsia="宋体" w:cs="宋体"/>
          <w:color w:val="auto"/>
          <w:sz w:val="28"/>
          <w:szCs w:val="28"/>
          <w:highlight w:val="none"/>
        </w:rPr>
        <w:t>6.3对询价小组成员的纪律要求</w:t>
      </w:r>
      <w:bookmarkEnd w:id="130"/>
    </w:p>
    <w:p w14:paraId="57AF5DD6">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成员不得收受他人的财物或者其他好处，不得向他人透漏对响应文件的评审和比较、成交候选人的推荐情况以及评审有关的其他情况。在评审活动中，询价小组成员不得擅离职守，影响评审程序正常进行，不得使用第三章“评审办法”没有规定的评审因素和标准进行评审。</w:t>
      </w:r>
    </w:p>
    <w:p w14:paraId="4C73BF7E">
      <w:pPr>
        <w:keepNext/>
        <w:keepLines/>
        <w:spacing w:line="360" w:lineRule="auto"/>
        <w:outlineLvl w:val="3"/>
        <w:rPr>
          <w:rFonts w:hint="eastAsia" w:ascii="宋体" w:hAnsi="宋体" w:eastAsia="宋体" w:cs="宋体"/>
          <w:color w:val="auto"/>
          <w:sz w:val="28"/>
          <w:szCs w:val="28"/>
          <w:highlight w:val="none"/>
        </w:rPr>
      </w:pPr>
      <w:bookmarkStart w:id="131" w:name="_Toc375869251"/>
      <w:r>
        <w:rPr>
          <w:rFonts w:hint="eastAsia" w:ascii="宋体" w:hAnsi="宋体" w:eastAsia="宋体" w:cs="宋体"/>
          <w:color w:val="auto"/>
          <w:sz w:val="28"/>
          <w:szCs w:val="28"/>
          <w:highlight w:val="none"/>
        </w:rPr>
        <w:t>6.4对与评审活动有关的工作人员的纪律要求</w:t>
      </w:r>
      <w:bookmarkEnd w:id="131"/>
    </w:p>
    <w:p w14:paraId="7E5672EB">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257508B0">
      <w:pPr>
        <w:keepNext/>
        <w:keepLines/>
        <w:spacing w:line="360" w:lineRule="auto"/>
        <w:outlineLvl w:val="3"/>
        <w:rPr>
          <w:rFonts w:hint="eastAsia" w:ascii="宋体" w:hAnsi="宋体" w:eastAsia="宋体" w:cs="宋体"/>
          <w:color w:val="auto"/>
          <w:sz w:val="28"/>
          <w:szCs w:val="28"/>
          <w:highlight w:val="none"/>
        </w:rPr>
      </w:pPr>
      <w:bookmarkStart w:id="132" w:name="_Toc375869252"/>
      <w:r>
        <w:rPr>
          <w:rFonts w:hint="eastAsia" w:ascii="宋体" w:hAnsi="宋体" w:eastAsia="宋体" w:cs="宋体"/>
          <w:color w:val="auto"/>
          <w:sz w:val="28"/>
          <w:szCs w:val="28"/>
          <w:highlight w:val="none"/>
        </w:rPr>
        <w:t>6.5投诉</w:t>
      </w:r>
      <w:bookmarkEnd w:id="132"/>
    </w:p>
    <w:p w14:paraId="110AED6A">
      <w:pPr>
        <w:widowControl w:val="0"/>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申请人和其他利害关系人认为本次采购活动违反法律、法规和规章规定的，有权向有关行政监督部门投诉。</w:t>
      </w:r>
    </w:p>
    <w:p w14:paraId="48B43591">
      <w:pPr>
        <w:pStyle w:val="4"/>
        <w:spacing w:before="0" w:after="0" w:line="360" w:lineRule="auto"/>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7.需要补充的其他内容</w:t>
      </w:r>
    </w:p>
    <w:p w14:paraId="7BD667FA">
      <w:pPr>
        <w:keepNext/>
        <w:keepLines/>
        <w:spacing w:line="360" w:lineRule="auto"/>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7.1履约担保</w:t>
      </w:r>
    </w:p>
    <w:p w14:paraId="1863111C">
      <w:pPr>
        <w:pStyle w:val="10"/>
        <w:spacing w:after="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本项目无履约担保。</w:t>
      </w:r>
    </w:p>
    <w:p w14:paraId="230ED327">
      <w:pPr>
        <w:keepNext/>
        <w:keepLines/>
        <w:spacing w:line="360" w:lineRule="auto"/>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7.2分包</w:t>
      </w:r>
    </w:p>
    <w:p w14:paraId="1E66F2E8">
      <w:pPr>
        <w:pStyle w:val="1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本项目不允许分包。</w:t>
      </w:r>
    </w:p>
    <w:p w14:paraId="5E05A076">
      <w:pPr>
        <w:keepNext/>
        <w:keepLines/>
        <w:spacing w:line="360" w:lineRule="auto"/>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7.3现场踏勘</w:t>
      </w:r>
    </w:p>
    <w:p w14:paraId="4F5BB7BD">
      <w:pPr>
        <w:pStyle w:val="1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本项目采购人不组织现场踏勘，申请人自行前往现场踏勘，踏勘费用由申请人自理，除采购人的原因外，申请人自行负责在现场踏勘中所发生的人员伤亡和财产损失。</w:t>
      </w:r>
    </w:p>
    <w:p w14:paraId="75510073">
      <w:pPr>
        <w:keepNext/>
        <w:keepLines/>
        <w:spacing w:line="360" w:lineRule="auto"/>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7.4费用承担</w:t>
      </w:r>
    </w:p>
    <w:p w14:paraId="6E9CDF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7.4.1</w:t>
      </w:r>
      <w:r>
        <w:rPr>
          <w:rFonts w:hint="eastAsia" w:ascii="宋体" w:hAnsi="宋体" w:eastAsia="宋体" w:cs="宋体"/>
          <w:color w:val="auto"/>
          <w:sz w:val="24"/>
          <w:szCs w:val="24"/>
          <w:highlight w:val="none"/>
        </w:rPr>
        <w:t>申请人准备和参加询价采购活动发生的费用自理。</w:t>
      </w:r>
    </w:p>
    <w:p w14:paraId="0AB91B1D">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7.4.2代理服务费：</w:t>
      </w:r>
      <w:r>
        <w:rPr>
          <w:rFonts w:hint="eastAsia" w:hAnsi="宋体" w:eastAsia="宋体" w:cs="宋体"/>
          <w:color w:val="auto"/>
          <w:sz w:val="24"/>
          <w:szCs w:val="24"/>
          <w:highlight w:val="none"/>
          <w:lang w:val="en-US" w:eastAsia="zh-CN" w:bidi="ar-SA"/>
        </w:rPr>
        <w:t>本项目不收取代理服务费</w:t>
      </w:r>
      <w:r>
        <w:rPr>
          <w:rFonts w:hint="eastAsia" w:ascii="宋体" w:hAnsi="宋体" w:eastAsia="宋体" w:cs="宋体"/>
          <w:color w:val="auto"/>
          <w:sz w:val="24"/>
          <w:szCs w:val="24"/>
          <w:highlight w:val="none"/>
          <w:lang w:val="en-US" w:eastAsia="zh-CN" w:bidi="ar-SA"/>
        </w:rPr>
        <w:t>。</w:t>
      </w:r>
    </w:p>
    <w:p w14:paraId="11ADDE76">
      <w:pPr>
        <w:keepNext/>
        <w:keepLines/>
        <w:spacing w:line="360" w:lineRule="auto"/>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7.5采购人是否退还响应文件</w:t>
      </w:r>
    </w:p>
    <w:p w14:paraId="5DABF4FB">
      <w:pPr>
        <w:pStyle w:val="10"/>
        <w:spacing w:after="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除本询价文件另有规定外，申请人所递交的响应文件不予退还</w:t>
      </w:r>
      <w:r>
        <w:rPr>
          <w:rFonts w:hint="eastAsia" w:ascii="宋体" w:hAnsi="宋体" w:eastAsia="宋体" w:cs="宋体"/>
          <w:color w:val="auto"/>
          <w:sz w:val="24"/>
          <w:highlight w:val="none"/>
          <w:lang w:eastAsia="zh-CN"/>
        </w:rPr>
        <w:t>。</w:t>
      </w:r>
    </w:p>
    <w:p w14:paraId="459BCC17">
      <w:pPr>
        <w:keepNext/>
        <w:keepLines/>
        <w:spacing w:line="360" w:lineRule="auto"/>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lang w:val="en-US" w:eastAsia="zh-CN"/>
        </w:rPr>
        <w:t>6询价</w:t>
      </w:r>
      <w:r>
        <w:rPr>
          <w:rFonts w:hint="eastAsia" w:ascii="宋体" w:hAnsi="宋体" w:eastAsia="宋体" w:cs="宋体"/>
          <w:color w:val="auto"/>
          <w:sz w:val="28"/>
          <w:szCs w:val="28"/>
          <w:highlight w:val="none"/>
        </w:rPr>
        <w:t>现场须递交证件及资料</w:t>
      </w:r>
    </w:p>
    <w:p w14:paraId="2554178E">
      <w:pPr>
        <w:pStyle w:val="10"/>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若法定代表人（合伙人）参加</w:t>
      </w:r>
      <w:r>
        <w:rPr>
          <w:rFonts w:hint="eastAsia" w:ascii="宋体" w:hAnsi="宋体" w:eastAsia="宋体" w:cs="宋体"/>
          <w:b/>
          <w:bCs/>
          <w:color w:val="auto"/>
          <w:sz w:val="24"/>
          <w:highlight w:val="none"/>
          <w:lang w:val="en-US" w:eastAsia="zh-CN"/>
        </w:rPr>
        <w:t>询价</w:t>
      </w:r>
      <w:r>
        <w:rPr>
          <w:rFonts w:hint="eastAsia" w:ascii="宋体" w:hAnsi="宋体" w:eastAsia="宋体" w:cs="宋体"/>
          <w:b/>
          <w:bCs/>
          <w:color w:val="auto"/>
          <w:sz w:val="24"/>
          <w:highlight w:val="none"/>
        </w:rPr>
        <w:t>会议时，须提供：</w:t>
      </w:r>
    </w:p>
    <w:p w14:paraId="4F3DA36B">
      <w:pPr>
        <w:pStyle w:val="1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①法定代表人（合伙人）身份证明书（原件，不予退还）；②法定代表人（合伙人）身份证（原件）；</w:t>
      </w:r>
    </w:p>
    <w:p w14:paraId="667C125C">
      <w:pPr>
        <w:pStyle w:val="10"/>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若委托代理人参加</w:t>
      </w:r>
      <w:r>
        <w:rPr>
          <w:rFonts w:hint="eastAsia" w:ascii="宋体" w:hAnsi="宋体" w:eastAsia="宋体" w:cs="宋体"/>
          <w:b/>
          <w:bCs/>
          <w:color w:val="auto"/>
          <w:sz w:val="24"/>
          <w:highlight w:val="none"/>
          <w:lang w:val="en-US" w:eastAsia="zh-CN"/>
        </w:rPr>
        <w:t>询价</w:t>
      </w:r>
      <w:r>
        <w:rPr>
          <w:rFonts w:hint="eastAsia" w:ascii="宋体" w:hAnsi="宋体" w:eastAsia="宋体" w:cs="宋体"/>
          <w:b/>
          <w:bCs/>
          <w:color w:val="auto"/>
          <w:sz w:val="24"/>
          <w:highlight w:val="none"/>
        </w:rPr>
        <w:t>会议时，须提供：</w:t>
      </w:r>
    </w:p>
    <w:p w14:paraId="363CCE20">
      <w:pPr>
        <w:pStyle w:val="1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①法定代表人（合伙人）授权委托书（原件，不予退还）；②委托代理人身份证（原件）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③法定代表人（合伙人）身份证明书（原件，不予退还）；</w:t>
      </w:r>
    </w:p>
    <w:p w14:paraId="65228072">
      <w:pPr>
        <w:pStyle w:val="10"/>
        <w:spacing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上述证明文件也是响应文件的组成部分，如以上证明文件不全或不符合要求的，响应文件将作无效处理，责任自负。</w:t>
      </w:r>
    </w:p>
    <w:p w14:paraId="46C2D5AD">
      <w:pPr>
        <w:pStyle w:val="2"/>
        <w:jc w:val="center"/>
        <w:rPr>
          <w:rFonts w:hint="eastAsia" w:ascii="宋体" w:hAnsi="宋体" w:eastAsia="宋体" w:cs="宋体"/>
          <w:b w:val="0"/>
          <w:bCs w:val="0"/>
          <w:color w:val="auto"/>
          <w:kern w:val="0"/>
          <w:sz w:val="36"/>
          <w:szCs w:val="36"/>
          <w:highlight w:val="none"/>
          <w:lang w:val="en-US" w:eastAsia="zh-CN" w:bidi="ar-SA"/>
        </w:rPr>
      </w:pPr>
      <w:bookmarkStart w:id="133" w:name="_Toc12418"/>
      <w:r>
        <w:rPr>
          <w:rFonts w:hint="eastAsia" w:ascii="宋体" w:hAnsi="宋体" w:eastAsia="宋体" w:cs="宋体"/>
          <w:color w:val="auto"/>
          <w:highlight w:val="none"/>
        </w:rPr>
        <w:br w:type="page"/>
      </w:r>
      <w:bookmarkStart w:id="134" w:name="_Toc15430"/>
      <w:r>
        <w:rPr>
          <w:rFonts w:hint="eastAsia" w:ascii="宋体" w:hAnsi="宋体" w:eastAsia="宋体" w:cs="宋体"/>
          <w:b w:val="0"/>
          <w:bCs w:val="0"/>
          <w:color w:val="auto"/>
          <w:kern w:val="0"/>
          <w:sz w:val="36"/>
          <w:szCs w:val="36"/>
          <w:highlight w:val="none"/>
          <w:lang w:val="en-US" w:eastAsia="zh-CN" w:bidi="ar-SA"/>
        </w:rPr>
        <w:t>第三章 评审</w:t>
      </w:r>
      <w:bookmarkEnd w:id="127"/>
      <w:r>
        <w:rPr>
          <w:rFonts w:hint="eastAsia" w:ascii="宋体" w:hAnsi="宋体" w:eastAsia="宋体" w:cs="宋体"/>
          <w:b w:val="0"/>
          <w:bCs w:val="0"/>
          <w:color w:val="auto"/>
          <w:kern w:val="0"/>
          <w:sz w:val="36"/>
          <w:szCs w:val="36"/>
          <w:highlight w:val="none"/>
          <w:lang w:val="en-US" w:eastAsia="zh-CN" w:bidi="ar-SA"/>
        </w:rPr>
        <w:t>办法</w:t>
      </w:r>
      <w:bookmarkEnd w:id="133"/>
      <w:bookmarkEnd w:id="134"/>
    </w:p>
    <w:p w14:paraId="1206BAD0">
      <w:pPr>
        <w:pStyle w:val="4"/>
        <w:spacing w:before="156" w:beforeLines="50" w:after="156" w:afterLines="50" w:line="360" w:lineRule="auto"/>
        <w:jc w:val="center"/>
        <w:rPr>
          <w:rFonts w:hint="eastAsia" w:ascii="宋体" w:hAnsi="宋体" w:eastAsia="宋体" w:cs="宋体"/>
          <w:b w:val="0"/>
          <w:bCs w:val="0"/>
          <w:color w:val="auto"/>
          <w:highlight w:val="none"/>
        </w:rPr>
      </w:pPr>
      <w:bookmarkStart w:id="135" w:name="_Toc90020755"/>
      <w:bookmarkStart w:id="136" w:name="_Toc14795"/>
      <w:bookmarkStart w:id="137" w:name="_Toc47358425"/>
      <w:bookmarkStart w:id="138" w:name="_Toc54625619"/>
      <w:r>
        <w:rPr>
          <w:rFonts w:hint="eastAsia" w:ascii="宋体" w:hAnsi="宋体" w:eastAsia="宋体" w:cs="宋体"/>
          <w:b w:val="0"/>
          <w:bCs w:val="0"/>
          <w:color w:val="auto"/>
          <w:highlight w:val="none"/>
        </w:rPr>
        <w:t>评审办法前附表</w:t>
      </w:r>
      <w:bookmarkEnd w:id="135"/>
      <w:bookmarkEnd w:id="136"/>
      <w:bookmarkEnd w:id="137"/>
      <w:bookmarkEnd w:id="138"/>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2939"/>
        <w:gridCol w:w="5877"/>
      </w:tblGrid>
      <w:tr w14:paraId="5014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75" w:type="pct"/>
            <w:noWrap w:val="0"/>
            <w:vAlign w:val="center"/>
          </w:tcPr>
          <w:p w14:paraId="5EEC3F7C">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评审程序</w:t>
            </w:r>
          </w:p>
        </w:tc>
        <w:tc>
          <w:tcPr>
            <w:tcW w:w="1475" w:type="pct"/>
            <w:noWrap w:val="0"/>
            <w:vAlign w:val="center"/>
          </w:tcPr>
          <w:p w14:paraId="4F23403B">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评审因素</w:t>
            </w:r>
          </w:p>
        </w:tc>
        <w:tc>
          <w:tcPr>
            <w:tcW w:w="2949" w:type="pct"/>
            <w:noWrap w:val="0"/>
            <w:vAlign w:val="center"/>
          </w:tcPr>
          <w:p w14:paraId="00DA1DF4">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评审标准</w:t>
            </w:r>
          </w:p>
        </w:tc>
      </w:tr>
      <w:tr w14:paraId="64E2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5" w:type="pct"/>
            <w:vMerge w:val="restart"/>
            <w:noWrap w:val="0"/>
            <w:vAlign w:val="center"/>
          </w:tcPr>
          <w:p w14:paraId="1C9E0A68">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形式评审标准</w:t>
            </w:r>
          </w:p>
        </w:tc>
        <w:tc>
          <w:tcPr>
            <w:tcW w:w="1475" w:type="pct"/>
            <w:noWrap w:val="0"/>
            <w:vAlign w:val="center"/>
          </w:tcPr>
          <w:p w14:paraId="3ED9A649">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申请人名称</w:t>
            </w:r>
          </w:p>
        </w:tc>
        <w:tc>
          <w:tcPr>
            <w:tcW w:w="2949" w:type="pct"/>
            <w:noWrap w:val="0"/>
            <w:vAlign w:val="center"/>
          </w:tcPr>
          <w:p w14:paraId="131F5424">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与企业相关证书、材料一致</w:t>
            </w:r>
          </w:p>
        </w:tc>
      </w:tr>
      <w:tr w14:paraId="4F62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75" w:type="pct"/>
            <w:vMerge w:val="continue"/>
            <w:noWrap w:val="0"/>
            <w:vAlign w:val="center"/>
          </w:tcPr>
          <w:p w14:paraId="6372E80A">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p>
        </w:tc>
        <w:tc>
          <w:tcPr>
            <w:tcW w:w="1475" w:type="pct"/>
            <w:noWrap w:val="0"/>
            <w:vAlign w:val="center"/>
          </w:tcPr>
          <w:p w14:paraId="71383CE8">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响应文件的签字和盖章</w:t>
            </w:r>
          </w:p>
        </w:tc>
        <w:tc>
          <w:tcPr>
            <w:tcW w:w="2949" w:type="pct"/>
            <w:noWrap w:val="0"/>
            <w:vAlign w:val="center"/>
          </w:tcPr>
          <w:p w14:paraId="2BAEB624">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符合第二章“申请人须知”2.3的要求</w:t>
            </w:r>
          </w:p>
        </w:tc>
      </w:tr>
      <w:tr w14:paraId="4F4B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75" w:type="pct"/>
            <w:vMerge w:val="continue"/>
            <w:noWrap w:val="0"/>
            <w:vAlign w:val="center"/>
          </w:tcPr>
          <w:p w14:paraId="4A2D1DF7">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p>
        </w:tc>
        <w:tc>
          <w:tcPr>
            <w:tcW w:w="1475" w:type="pct"/>
            <w:noWrap w:val="0"/>
            <w:vAlign w:val="center"/>
          </w:tcPr>
          <w:p w14:paraId="46A1514A">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报价</w:t>
            </w:r>
          </w:p>
        </w:tc>
        <w:tc>
          <w:tcPr>
            <w:tcW w:w="2949" w:type="pct"/>
            <w:noWrap w:val="0"/>
            <w:vAlign w:val="center"/>
          </w:tcPr>
          <w:p w14:paraId="00463797">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符合第二章“申请人须知”2.1的要求,且只有一个有效报价</w:t>
            </w:r>
          </w:p>
        </w:tc>
      </w:tr>
      <w:tr w14:paraId="7E5A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5" w:type="pct"/>
            <w:vMerge w:val="continue"/>
            <w:noWrap w:val="0"/>
            <w:vAlign w:val="center"/>
          </w:tcPr>
          <w:p w14:paraId="49E583CA">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p>
        </w:tc>
        <w:tc>
          <w:tcPr>
            <w:tcW w:w="1475" w:type="pct"/>
            <w:noWrap w:val="0"/>
            <w:vAlign w:val="center"/>
          </w:tcPr>
          <w:p w14:paraId="66D6D8BC">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响应文件格式</w:t>
            </w:r>
          </w:p>
        </w:tc>
        <w:tc>
          <w:tcPr>
            <w:tcW w:w="2949" w:type="pct"/>
            <w:noWrap w:val="0"/>
            <w:vAlign w:val="center"/>
          </w:tcPr>
          <w:p w14:paraId="0960FF1F">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rPr>
              <w:t>章“响应文件格式”和第二章“申请人须知”2.3、2.4和2.5的要求</w:t>
            </w:r>
          </w:p>
        </w:tc>
      </w:tr>
      <w:tr w14:paraId="7D9C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75" w:type="pct"/>
            <w:vMerge w:val="restart"/>
            <w:noWrap w:val="0"/>
            <w:vAlign w:val="center"/>
          </w:tcPr>
          <w:p w14:paraId="1A78E9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资格评审标准</w:t>
            </w:r>
          </w:p>
        </w:tc>
        <w:tc>
          <w:tcPr>
            <w:tcW w:w="1475" w:type="pct"/>
            <w:noWrap w:val="0"/>
            <w:vAlign w:val="center"/>
          </w:tcPr>
          <w:p w14:paraId="4D013CE2">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申请人资格条件</w:t>
            </w:r>
          </w:p>
        </w:tc>
        <w:tc>
          <w:tcPr>
            <w:tcW w:w="2949" w:type="pct"/>
            <w:noWrap w:val="0"/>
            <w:vAlign w:val="center"/>
          </w:tcPr>
          <w:p w14:paraId="4DFFD5D4">
            <w:pPr>
              <w:widowControl w:val="0"/>
              <w:spacing w:line="360" w:lineRule="auto"/>
              <w:jc w:val="both"/>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t>符合第一章“</w:t>
            </w:r>
            <w:r>
              <w:rPr>
                <w:rFonts w:hint="eastAsia" w:ascii="宋体" w:hAnsi="宋体" w:eastAsia="宋体" w:cs="宋体"/>
                <w:color w:val="auto"/>
                <w:kern w:val="2"/>
                <w:sz w:val="24"/>
                <w:szCs w:val="24"/>
                <w:highlight w:val="none"/>
                <w:lang w:eastAsia="zh-CN"/>
              </w:rPr>
              <w:t>询价</w:t>
            </w:r>
            <w:r>
              <w:rPr>
                <w:rFonts w:hint="eastAsia" w:ascii="宋体" w:hAnsi="宋体" w:cs="宋体"/>
                <w:color w:val="auto"/>
                <w:kern w:val="2"/>
                <w:sz w:val="24"/>
                <w:szCs w:val="24"/>
                <w:highlight w:val="none"/>
                <w:lang w:val="en-US" w:eastAsia="zh-CN"/>
              </w:rPr>
              <w:t>公告</w:t>
            </w:r>
            <w:r>
              <w:rPr>
                <w:rFonts w:hint="eastAsia" w:ascii="宋体" w:hAnsi="宋体" w:eastAsia="宋体" w:cs="宋体"/>
                <w:color w:val="auto"/>
                <w:kern w:val="2"/>
                <w:sz w:val="24"/>
                <w:szCs w:val="24"/>
                <w:highlight w:val="none"/>
              </w:rPr>
              <w:t>”中“3.</w:t>
            </w:r>
            <w:r>
              <w:rPr>
                <w:rFonts w:hint="eastAsia" w:ascii="宋体" w:hAnsi="宋体" w:eastAsia="宋体" w:cs="宋体"/>
                <w:color w:val="auto"/>
                <w:sz w:val="24"/>
                <w:szCs w:val="24"/>
                <w:highlight w:val="none"/>
              </w:rPr>
              <w:t>申请人资格条件</w:t>
            </w:r>
            <w:r>
              <w:rPr>
                <w:rFonts w:hint="eastAsia" w:ascii="宋体" w:hAnsi="宋体" w:eastAsia="宋体" w:cs="宋体"/>
                <w:color w:val="auto"/>
                <w:kern w:val="2"/>
                <w:sz w:val="24"/>
                <w:szCs w:val="24"/>
                <w:highlight w:val="none"/>
              </w:rPr>
              <w:t>”的要求</w:t>
            </w:r>
          </w:p>
        </w:tc>
      </w:tr>
      <w:tr w14:paraId="7324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75" w:type="pct"/>
            <w:vMerge w:val="continue"/>
            <w:noWrap w:val="0"/>
            <w:vAlign w:val="center"/>
          </w:tcPr>
          <w:p w14:paraId="5F29C3A4">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p>
        </w:tc>
        <w:tc>
          <w:tcPr>
            <w:tcW w:w="1475" w:type="pct"/>
            <w:noWrap w:val="0"/>
            <w:vAlign w:val="center"/>
          </w:tcPr>
          <w:p w14:paraId="0BC80B3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法定代表人（合伙人）身份证明书或附有法定代表人（合伙人）身份证明的授权委托书</w:t>
            </w:r>
          </w:p>
        </w:tc>
        <w:tc>
          <w:tcPr>
            <w:tcW w:w="2949" w:type="pct"/>
            <w:noWrap w:val="0"/>
            <w:vAlign w:val="center"/>
          </w:tcPr>
          <w:p w14:paraId="6632815D">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按第</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rPr>
              <w:t>章“响应文件格式”填写。</w:t>
            </w:r>
          </w:p>
          <w:p w14:paraId="629716AF">
            <w:pPr>
              <w:widowControl w:val="0"/>
              <w:autoSpaceDE w:val="0"/>
              <w:autoSpaceDN w:val="0"/>
              <w:adjustRightInd w:val="0"/>
              <w:spacing w:line="360" w:lineRule="auto"/>
              <w:jc w:val="both"/>
              <w:rPr>
                <w:rFonts w:hint="eastAsia" w:ascii="宋体" w:hAnsi="宋体" w:eastAsia="宋体" w:cs="宋体"/>
                <w:b/>
                <w:color w:val="auto"/>
                <w:kern w:val="2"/>
                <w:sz w:val="24"/>
                <w:szCs w:val="24"/>
                <w:highlight w:val="none"/>
              </w:rPr>
            </w:pPr>
            <w:r>
              <w:rPr>
                <w:rFonts w:hint="eastAsia" w:ascii="宋体" w:hAnsi="宋体" w:eastAsia="宋体" w:cs="宋体"/>
                <w:b/>
                <w:bCs/>
                <w:color w:val="auto"/>
                <w:sz w:val="24"/>
                <w:szCs w:val="24"/>
                <w:highlight w:val="none"/>
              </w:rPr>
              <w:t>是否需要核验原件：是（审核响应文件正本中的原件）</w:t>
            </w:r>
          </w:p>
        </w:tc>
      </w:tr>
      <w:tr w14:paraId="5D44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75" w:type="pct"/>
            <w:vMerge w:val="continue"/>
            <w:noWrap w:val="0"/>
            <w:vAlign w:val="center"/>
          </w:tcPr>
          <w:p w14:paraId="4FB7FCE0">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p>
        </w:tc>
        <w:tc>
          <w:tcPr>
            <w:tcW w:w="1475" w:type="pct"/>
            <w:noWrap w:val="0"/>
            <w:vAlign w:val="center"/>
          </w:tcPr>
          <w:p w14:paraId="13B28D03">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法定代表人（合伙人）或授权委托人居民身份证</w:t>
            </w:r>
          </w:p>
        </w:tc>
        <w:tc>
          <w:tcPr>
            <w:tcW w:w="2949" w:type="pct"/>
            <w:noWrap w:val="0"/>
            <w:vAlign w:val="center"/>
          </w:tcPr>
          <w:p w14:paraId="64BCCC3B">
            <w:pPr>
              <w:widowControl w:val="0"/>
              <w:autoSpaceDE w:val="0"/>
              <w:autoSpaceDN w:val="0"/>
              <w:adjustRightIn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具备有效证件，附原件复印件。</w:t>
            </w:r>
          </w:p>
          <w:p w14:paraId="5AEFD04B">
            <w:pPr>
              <w:widowControl w:val="0"/>
              <w:autoSpaceDE w:val="0"/>
              <w:autoSpaceDN w:val="0"/>
              <w:adjustRightIn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是否需要核验原件：是</w:t>
            </w:r>
          </w:p>
        </w:tc>
      </w:tr>
      <w:tr w14:paraId="63DC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 w:type="pct"/>
            <w:vMerge w:val="restart"/>
            <w:noWrap w:val="0"/>
            <w:vAlign w:val="center"/>
          </w:tcPr>
          <w:p w14:paraId="42F53D54">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响应性</w:t>
            </w:r>
          </w:p>
          <w:p w14:paraId="2D9F5A7B">
            <w:pPr>
              <w:widowControl w:val="0"/>
              <w:autoSpaceDE w:val="0"/>
              <w:autoSpaceDN w:val="0"/>
              <w:adjustRightInd w:val="0"/>
              <w:spacing w:line="36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评审标准</w:t>
            </w:r>
          </w:p>
        </w:tc>
        <w:tc>
          <w:tcPr>
            <w:tcW w:w="1475" w:type="pct"/>
            <w:noWrap w:val="0"/>
            <w:vAlign w:val="center"/>
          </w:tcPr>
          <w:p w14:paraId="4BF5759F">
            <w:pPr>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服务周期</w:t>
            </w:r>
          </w:p>
        </w:tc>
        <w:tc>
          <w:tcPr>
            <w:tcW w:w="2949" w:type="pct"/>
            <w:noWrap w:val="0"/>
            <w:vAlign w:val="center"/>
          </w:tcPr>
          <w:p w14:paraId="7428A7C0">
            <w:pPr>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响应文件载明的采购项目完成时间符合询价文件的规定</w:t>
            </w:r>
          </w:p>
        </w:tc>
      </w:tr>
      <w:tr w14:paraId="1F92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5" w:type="pct"/>
            <w:vMerge w:val="continue"/>
            <w:noWrap w:val="0"/>
            <w:vAlign w:val="center"/>
          </w:tcPr>
          <w:p w14:paraId="6D69C1AB">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p>
        </w:tc>
        <w:tc>
          <w:tcPr>
            <w:tcW w:w="1475" w:type="pct"/>
            <w:noWrap w:val="0"/>
            <w:vAlign w:val="center"/>
          </w:tcPr>
          <w:p w14:paraId="74A801D8">
            <w:pPr>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项目质量要求</w:t>
            </w:r>
          </w:p>
        </w:tc>
        <w:tc>
          <w:tcPr>
            <w:tcW w:w="2949" w:type="pct"/>
            <w:noWrap w:val="0"/>
            <w:vAlign w:val="center"/>
          </w:tcPr>
          <w:p w14:paraId="5B22ABBF">
            <w:pPr>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响应文件有</w:t>
            </w:r>
            <w:r>
              <w:rPr>
                <w:rFonts w:hint="eastAsia" w:ascii="宋体" w:hAnsi="宋体" w:cs="宋体"/>
                <w:color w:val="auto"/>
                <w:sz w:val="24"/>
                <w:szCs w:val="24"/>
                <w:highlight w:val="none"/>
                <w:lang w:eastAsia="zh-CN"/>
              </w:rPr>
              <w:t>项目质量要求</w:t>
            </w:r>
            <w:r>
              <w:rPr>
                <w:rFonts w:hint="eastAsia" w:ascii="宋体" w:hAnsi="宋体" w:eastAsia="宋体" w:cs="宋体"/>
                <w:color w:val="auto"/>
                <w:sz w:val="24"/>
                <w:szCs w:val="24"/>
                <w:highlight w:val="none"/>
              </w:rPr>
              <w:t>且</w:t>
            </w:r>
            <w:r>
              <w:rPr>
                <w:rFonts w:hint="eastAsia" w:ascii="宋体" w:hAnsi="宋体" w:cs="宋体"/>
                <w:color w:val="auto"/>
                <w:sz w:val="24"/>
                <w:szCs w:val="24"/>
                <w:highlight w:val="none"/>
                <w:lang w:eastAsia="zh-CN"/>
              </w:rPr>
              <w:t>项目质量要求</w:t>
            </w:r>
            <w:r>
              <w:rPr>
                <w:rFonts w:hint="eastAsia" w:ascii="宋体" w:hAnsi="宋体" w:eastAsia="宋体" w:cs="宋体"/>
                <w:color w:val="auto"/>
                <w:sz w:val="24"/>
                <w:szCs w:val="24"/>
                <w:highlight w:val="none"/>
              </w:rPr>
              <w:t>满足询价文件要求</w:t>
            </w:r>
          </w:p>
        </w:tc>
      </w:tr>
      <w:tr w14:paraId="6F58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5" w:type="pct"/>
            <w:vMerge w:val="continue"/>
            <w:noWrap w:val="0"/>
            <w:vAlign w:val="center"/>
          </w:tcPr>
          <w:p w14:paraId="7CF9527B">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p>
        </w:tc>
        <w:tc>
          <w:tcPr>
            <w:tcW w:w="1475" w:type="pct"/>
            <w:noWrap w:val="0"/>
            <w:vAlign w:val="center"/>
          </w:tcPr>
          <w:p w14:paraId="0AA9EFB2">
            <w:pPr>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有效期</w:t>
            </w:r>
          </w:p>
        </w:tc>
        <w:tc>
          <w:tcPr>
            <w:tcW w:w="2949" w:type="pct"/>
            <w:noWrap w:val="0"/>
            <w:vAlign w:val="center"/>
          </w:tcPr>
          <w:p w14:paraId="270D0D7E">
            <w:pPr>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kern w:val="2"/>
                <w:sz w:val="24"/>
                <w:szCs w:val="24"/>
                <w:highlight w:val="none"/>
              </w:rPr>
              <w:t>有效期满足询价文件要求</w:t>
            </w:r>
          </w:p>
        </w:tc>
      </w:tr>
      <w:tr w14:paraId="4A78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5" w:type="pct"/>
            <w:vMerge w:val="continue"/>
            <w:noWrap w:val="0"/>
            <w:vAlign w:val="center"/>
          </w:tcPr>
          <w:p w14:paraId="5F652E85">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p>
        </w:tc>
        <w:tc>
          <w:tcPr>
            <w:tcW w:w="1475" w:type="pct"/>
            <w:noWrap w:val="0"/>
            <w:vAlign w:val="center"/>
          </w:tcPr>
          <w:p w14:paraId="7B23E49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承诺函</w:t>
            </w:r>
          </w:p>
        </w:tc>
        <w:tc>
          <w:tcPr>
            <w:tcW w:w="2949" w:type="pct"/>
            <w:noWrap w:val="0"/>
            <w:vAlign w:val="center"/>
          </w:tcPr>
          <w:p w14:paraId="55BD622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w:t>
            </w:r>
            <w:r>
              <w:rPr>
                <w:rFonts w:hint="eastAsia" w:ascii="宋体" w:hAnsi="宋体" w:cs="宋体"/>
                <w:color w:val="auto"/>
                <w:sz w:val="24"/>
                <w:szCs w:val="24"/>
                <w:highlight w:val="none"/>
                <w:lang w:val="en-US" w:eastAsia="zh-CN"/>
              </w:rPr>
              <w:t>按《第四章 采购需求》的规定提供承诺函。</w:t>
            </w:r>
          </w:p>
        </w:tc>
      </w:tr>
      <w:tr w14:paraId="0B96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5" w:type="pct"/>
            <w:vMerge w:val="continue"/>
            <w:noWrap w:val="0"/>
            <w:vAlign w:val="center"/>
          </w:tcPr>
          <w:p w14:paraId="7C2CBFC0">
            <w:pPr>
              <w:widowControl w:val="0"/>
              <w:autoSpaceDE w:val="0"/>
              <w:autoSpaceDN w:val="0"/>
              <w:adjustRightInd w:val="0"/>
              <w:spacing w:line="360" w:lineRule="auto"/>
              <w:jc w:val="both"/>
              <w:rPr>
                <w:rFonts w:hint="eastAsia" w:ascii="宋体" w:hAnsi="宋体" w:eastAsia="宋体" w:cs="宋体"/>
                <w:color w:val="auto"/>
                <w:kern w:val="2"/>
                <w:sz w:val="24"/>
                <w:szCs w:val="24"/>
                <w:highlight w:val="none"/>
              </w:rPr>
            </w:pPr>
          </w:p>
        </w:tc>
        <w:tc>
          <w:tcPr>
            <w:tcW w:w="1475" w:type="pct"/>
            <w:noWrap w:val="0"/>
            <w:vAlign w:val="center"/>
          </w:tcPr>
          <w:p w14:paraId="581055B0">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其他要求</w:t>
            </w:r>
          </w:p>
        </w:tc>
        <w:tc>
          <w:tcPr>
            <w:tcW w:w="2949" w:type="pct"/>
            <w:noWrap w:val="0"/>
            <w:vAlign w:val="center"/>
          </w:tcPr>
          <w:p w14:paraId="39D2FEDA">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满足询价文件规定的其他采购服务需求</w:t>
            </w:r>
          </w:p>
        </w:tc>
      </w:tr>
    </w:tbl>
    <w:p w14:paraId="1D0A6339">
      <w:pPr>
        <w:spacing w:line="520" w:lineRule="exact"/>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1.评审办法</w:t>
      </w:r>
    </w:p>
    <w:p w14:paraId="38E7F150">
      <w:pPr>
        <w:spacing w:line="520" w:lineRule="exact"/>
        <w:ind w:firstLine="480" w:firstLineChars="200"/>
        <w:rPr>
          <w:rFonts w:hint="eastAsia" w:ascii="宋体" w:hAnsi="宋体" w:eastAsia="宋体" w:cs="宋体"/>
          <w:color w:val="auto"/>
          <w:kern w:val="2"/>
          <w:sz w:val="24"/>
          <w:szCs w:val="24"/>
          <w:highlight w:val="none"/>
        </w:rPr>
      </w:pPr>
      <w:bookmarkStart w:id="139" w:name="_Hlk52098497"/>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rPr>
        <w:t>相关法律、法规及监管规定，本项目采用</w:t>
      </w:r>
      <w:r>
        <w:rPr>
          <w:rFonts w:hint="eastAsia" w:ascii="宋体" w:hAnsi="宋体" w:cs="宋体"/>
          <w:b/>
          <w:bCs/>
          <w:color w:val="auto"/>
          <w:sz w:val="24"/>
          <w:szCs w:val="24"/>
          <w:highlight w:val="none"/>
          <w:u w:val="single"/>
          <w:lang w:eastAsia="zh-CN"/>
        </w:rPr>
        <w:t>最低评标价法</w:t>
      </w:r>
      <w:r>
        <w:rPr>
          <w:rFonts w:hint="eastAsia" w:ascii="宋体" w:hAnsi="宋体" w:eastAsia="宋体" w:cs="宋体"/>
          <w:color w:val="auto"/>
          <w:sz w:val="24"/>
          <w:szCs w:val="24"/>
          <w:highlight w:val="none"/>
        </w:rPr>
        <w:t>评标，询价小组成员按照客观、公正、谨慎的原则，根据询价文件</w:t>
      </w:r>
      <w:bookmarkEnd w:id="139"/>
      <w:r>
        <w:rPr>
          <w:rFonts w:hint="eastAsia" w:ascii="宋体" w:hAnsi="宋体" w:eastAsia="宋体" w:cs="宋体"/>
          <w:color w:val="auto"/>
          <w:sz w:val="24"/>
          <w:szCs w:val="24"/>
          <w:highlight w:val="none"/>
        </w:rPr>
        <w:t>规定的方法、评审因素、标准和程序对响应文件进行评审，“评审办法”没有规定的方法、评审因素和标准，不作为评审依据。</w:t>
      </w:r>
    </w:p>
    <w:p w14:paraId="69581532">
      <w:pPr>
        <w:numPr>
          <w:ilvl w:val="0"/>
          <w:numId w:val="0"/>
        </w:numPr>
        <w:spacing w:line="520" w:lineRule="exact"/>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评审程序</w:t>
      </w:r>
    </w:p>
    <w:p w14:paraId="67BB490D">
      <w:pPr>
        <w:spacing w:line="52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2.1形式评审、资格评审和响应性评审</w:t>
      </w:r>
    </w:p>
    <w:p w14:paraId="379C9D87">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询价小组依据询价文件的规定，依次对响应文件进行</w:t>
      </w:r>
      <w:r>
        <w:rPr>
          <w:rFonts w:hint="eastAsia" w:ascii="宋体" w:hAnsi="宋体" w:eastAsia="宋体" w:cs="宋体"/>
          <w:b/>
          <w:bCs/>
          <w:color w:val="auto"/>
          <w:sz w:val="24"/>
          <w:szCs w:val="24"/>
          <w:highlight w:val="none"/>
        </w:rPr>
        <w:t>形式评审、资格评审和响应性评审，未通过上一步评审的，不得进入下一步程序</w:t>
      </w:r>
      <w:r>
        <w:rPr>
          <w:rFonts w:hint="eastAsia" w:ascii="宋体" w:hAnsi="宋体" w:eastAsia="宋体" w:cs="宋体"/>
          <w:color w:val="auto"/>
          <w:sz w:val="24"/>
          <w:szCs w:val="24"/>
          <w:highlight w:val="none"/>
        </w:rPr>
        <w:t>。评审标准详见“评审办法前附表”。</w:t>
      </w:r>
    </w:p>
    <w:p w14:paraId="0220B6A8">
      <w:pPr>
        <w:spacing w:line="52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2.2响应文件的评审、比较和取消询价资格</w:t>
      </w:r>
    </w:p>
    <w:p w14:paraId="29D4A789">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小组将按照</w:t>
      </w:r>
      <w:r>
        <w:rPr>
          <w:rFonts w:hint="eastAsia" w:ascii="宋体" w:hAnsi="宋体" w:eastAsia="宋体" w:cs="宋体"/>
          <w:color w:val="auto"/>
          <w:sz w:val="24"/>
          <w:szCs w:val="24"/>
          <w:highlight w:val="none"/>
          <w:lang w:val="en-US" w:eastAsia="zh-CN"/>
        </w:rPr>
        <w:t>评审办法</w:t>
      </w:r>
      <w:r>
        <w:rPr>
          <w:rFonts w:hint="eastAsia" w:ascii="宋体" w:hAnsi="宋体" w:eastAsia="宋体" w:cs="宋体"/>
          <w:color w:val="auto"/>
          <w:sz w:val="24"/>
          <w:szCs w:val="24"/>
          <w:highlight w:val="none"/>
        </w:rPr>
        <w:t>规定，对通过了初步评审的申请人的响应文件进行评估和比较。</w:t>
      </w:r>
    </w:p>
    <w:p w14:paraId="48CF710E">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.2在评审过程中，</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小组可以书面形式要求申请人就响应文件中含义不明确的内容进行书面说明并提供相关材料。书面说明及相关材料不能改变响应文件的实质性内容。</w:t>
      </w:r>
    </w:p>
    <w:p w14:paraId="2931B693">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.3申请人或响应文件有下列情形之一的,其资格将被取消：</w:t>
      </w:r>
    </w:p>
    <w:p w14:paraId="0B0A10E4">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（1）有串通投标或弄虚作假或有其他违法行为的。</w:t>
      </w:r>
    </w:p>
    <w:p w14:paraId="066C7B32">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章“3.申请人资格条件”规定的任何一种情形的。</w:t>
      </w:r>
    </w:p>
    <w:p w14:paraId="2AD82D0C">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）不按</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小组要求澄清、说明或补正的。</w:t>
      </w:r>
    </w:p>
    <w:p w14:paraId="68FF40C5">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初步</w:t>
      </w:r>
      <w:r>
        <w:rPr>
          <w:rFonts w:hint="eastAsia" w:ascii="宋体" w:hAnsi="宋体" w:eastAsia="宋体" w:cs="宋体"/>
          <w:color w:val="auto"/>
          <w:sz w:val="24"/>
          <w:szCs w:val="24"/>
          <w:highlight w:val="none"/>
        </w:rPr>
        <w:t>评审中，</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小组认定申请人不符合评审办法前附表中规定的任何一项评审标准的。</w:t>
      </w:r>
    </w:p>
    <w:p w14:paraId="41243787">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小组认定申请人以低于成本报价的。</w:t>
      </w:r>
    </w:p>
    <w:p w14:paraId="36DAEF84">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）响应文件未按</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 xml:space="preserve">文件的要求加盖单位章或法定代表人（合伙人）或授权代理人未按要求签字或盖章的。 </w:t>
      </w:r>
    </w:p>
    <w:p w14:paraId="3DBE9371">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）响应文件未按</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文件规定的格式填写，内容不全或关键字迹模糊、无法辨认的。</w:t>
      </w:r>
    </w:p>
    <w:p w14:paraId="4E8E49E1">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）申请人递交两份或多份内容不同的响应文件，或在一份响应文件中对同一采购项目报有两个或多个报价，且未声明哪一个有效的。</w:t>
      </w:r>
    </w:p>
    <w:p w14:paraId="6CDBCD05">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文件实质性要求的或响应文件附有采购人不能接受的条件的。</w:t>
      </w:r>
    </w:p>
    <w:p w14:paraId="1C3B6798">
      <w:pPr>
        <w:spacing w:line="5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）申请人的报价超过本项目公布的</w:t>
      </w:r>
      <w:r>
        <w:rPr>
          <w:rFonts w:hint="eastAsia" w:ascii="宋体" w:hAnsi="宋体" w:eastAsia="宋体" w:cs="宋体"/>
          <w:color w:val="auto"/>
          <w:sz w:val="24"/>
          <w:szCs w:val="24"/>
          <w:highlight w:val="none"/>
          <w:lang w:val="en-US" w:eastAsia="zh-CN"/>
        </w:rPr>
        <w:t>最高投标</w:t>
      </w:r>
      <w:r>
        <w:rPr>
          <w:rFonts w:hint="eastAsia" w:ascii="宋体" w:hAnsi="宋体" w:eastAsia="宋体" w:cs="宋体"/>
          <w:color w:val="auto"/>
          <w:sz w:val="24"/>
          <w:szCs w:val="24"/>
          <w:highlight w:val="none"/>
        </w:rPr>
        <w:t>限价的。</w:t>
      </w:r>
    </w:p>
    <w:p w14:paraId="44DF1476">
      <w:pPr>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（11）不同申请人委托同一人参与询价会议的。</w:t>
      </w:r>
    </w:p>
    <w:p w14:paraId="16935110">
      <w:pPr>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（12）不同申请人的响应文件载明的项目管理机构成员出现相同人员的。</w:t>
      </w:r>
    </w:p>
    <w:p w14:paraId="1FD7C116">
      <w:pPr>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（13）不同申请人的响应文件内容存在非正常一致的。</w:t>
      </w:r>
    </w:p>
    <w:p w14:paraId="78254E79">
      <w:pPr>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（14）违反国家、省、市相关法律法规的。</w:t>
      </w:r>
    </w:p>
    <w:p w14:paraId="6D6AEBBF">
      <w:pPr>
        <w:spacing w:line="52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成交候选人推荐</w:t>
      </w:r>
    </w:p>
    <w:p w14:paraId="0BA7FB04">
      <w:pPr>
        <w:spacing w:line="5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询价小组从同时通过形式评审、资格评审和响应性评审的所有申请人中，按照报价由低到高的顺序推荐3名成交候选人。</w:t>
      </w:r>
      <w:r>
        <w:rPr>
          <w:rFonts w:hint="eastAsia" w:ascii="宋体" w:hAnsi="宋体" w:eastAsia="宋体" w:cs="宋体"/>
          <w:color w:val="auto"/>
          <w:sz w:val="24"/>
          <w:szCs w:val="24"/>
          <w:highlight w:val="none"/>
        </w:rPr>
        <w:t>排在前面的成交候选人的总报价或者某些分项报价明显不合理或者低于成本，应当要求其在规定的期限内提供有关价格构成的书面文件予以解释说明，并提交相关证明材料；否则，询价小组可以取消该申请人的成交候选资格，按顺序由排在后面的成交候选申请人递补，以此类推。</w:t>
      </w:r>
      <w:bookmarkStart w:id="140" w:name="_Toc2212"/>
      <w:bookmarkStart w:id="141" w:name="_Toc2297"/>
      <w:bookmarkStart w:id="142" w:name="_Toc32502"/>
      <w:bookmarkStart w:id="143" w:name="_Toc28570"/>
      <w:bookmarkStart w:id="144" w:name="_Toc2224"/>
    </w:p>
    <w:p w14:paraId="7C875D61">
      <w:pPr>
        <w:numPr>
          <w:ilvl w:val="0"/>
          <w:numId w:val="0"/>
        </w:numPr>
        <w:spacing w:line="520" w:lineRule="exact"/>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评审报告</w:t>
      </w:r>
      <w:bookmarkEnd w:id="140"/>
      <w:bookmarkEnd w:id="141"/>
      <w:bookmarkEnd w:id="142"/>
      <w:bookmarkEnd w:id="143"/>
      <w:bookmarkEnd w:id="144"/>
      <w:bookmarkStart w:id="145" w:name="_Toc18285"/>
      <w:bookmarkStart w:id="146" w:name="_Toc13650"/>
    </w:p>
    <w:p w14:paraId="7210BF5F">
      <w:pPr>
        <w:spacing w:line="52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询价小组根据评审情况出具评审报告，并由询价小组全体人员签字。</w:t>
      </w:r>
      <w:r>
        <w:rPr>
          <w:rFonts w:hint="eastAsia" w:ascii="宋体" w:hAnsi="宋体" w:eastAsia="宋体" w:cs="宋体"/>
          <w:color w:val="auto"/>
          <w:sz w:val="24"/>
          <w:szCs w:val="24"/>
          <w:highlight w:val="none"/>
        </w:rPr>
        <w:t>询价小组成员依法独立评审，对自己的评审意见承担法律责任，对需要共同认定的事项存在争议的,询价小组按照少数服从多数的原则做出结论。询价小组成员对评审报告有异议的,应当在评审报告上签署不同意见并说明理由,否则视为同意评审报告。</w:t>
      </w:r>
      <w:bookmarkEnd w:id="145"/>
      <w:bookmarkEnd w:id="146"/>
      <w:bookmarkStart w:id="147" w:name="_Toc15888"/>
    </w:p>
    <w:p w14:paraId="27F5E3BC">
      <w:pPr>
        <w:spacing w:line="520" w:lineRule="exact"/>
        <w:ind w:firstLine="480" w:firstLineChars="200"/>
        <w:jc w:val="both"/>
        <w:rPr>
          <w:rFonts w:hint="eastAsia" w:ascii="宋体" w:hAnsi="宋体" w:eastAsia="宋体" w:cs="宋体"/>
          <w:color w:val="auto"/>
          <w:sz w:val="24"/>
          <w:szCs w:val="24"/>
          <w:highlight w:val="none"/>
        </w:rPr>
      </w:pPr>
    </w:p>
    <w:p w14:paraId="4FBF9EF4">
      <w:pPr>
        <w:rPr>
          <w:rFonts w:hint="eastAsia" w:ascii="宋体" w:hAnsi="宋体" w:eastAsia="宋体" w:cs="宋体"/>
          <w:color w:val="auto"/>
          <w:sz w:val="24"/>
          <w:szCs w:val="24"/>
          <w:highlight w:val="none"/>
        </w:rPr>
      </w:pPr>
    </w:p>
    <w:p w14:paraId="315F23FD">
      <w:pPr>
        <w:rPr>
          <w:rFonts w:hint="eastAsia" w:ascii="宋体" w:hAnsi="宋体" w:eastAsia="宋体" w:cs="宋体"/>
          <w:color w:val="auto"/>
          <w:highlight w:val="none"/>
        </w:rPr>
      </w:pPr>
    </w:p>
    <w:p w14:paraId="5E646B79">
      <w:pPr>
        <w:spacing w:line="52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kern w:val="44"/>
          <w:sz w:val="36"/>
          <w:szCs w:val="36"/>
          <w:highlight w:val="none"/>
        </w:rPr>
        <w:br w:type="page"/>
      </w:r>
      <w:bookmarkStart w:id="148" w:name="_Toc17611"/>
      <w:r>
        <w:rPr>
          <w:rFonts w:hint="eastAsia" w:ascii="宋体" w:hAnsi="宋体" w:eastAsia="宋体" w:cs="宋体"/>
          <w:color w:val="auto"/>
          <w:sz w:val="36"/>
          <w:szCs w:val="36"/>
          <w:highlight w:val="none"/>
        </w:rPr>
        <w:t>第四章 采购需求</w:t>
      </w:r>
      <w:bookmarkEnd w:id="148"/>
    </w:p>
    <w:p w14:paraId="17228DC3">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项目概况：</w:t>
      </w:r>
    </w:p>
    <w:p w14:paraId="06CB8FD0">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清算审计工作内容：对鑫安道路公司清算注销事项进行专项审计，根据公司清算基准日的财务状况出具清算审计报告。</w:t>
      </w:r>
    </w:p>
    <w:p w14:paraId="129EACF7">
      <w:pPr>
        <w:pStyle w:val="8"/>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项目预算金额/最高限价：</w:t>
      </w:r>
      <w:r>
        <w:rPr>
          <w:rFonts w:hint="eastAsia" w:ascii="宋体" w:hAnsi="宋体" w:eastAsia="宋体" w:cs="宋体"/>
          <w:b w:val="0"/>
          <w:bCs w:val="0"/>
          <w:color w:val="auto"/>
          <w:sz w:val="24"/>
          <w:szCs w:val="24"/>
          <w:highlight w:val="none"/>
          <w:lang w:val="en-US" w:eastAsia="zh-CN"/>
        </w:rPr>
        <w:t>人民币：4000元（大写：肆仟元整），资金已落实。</w:t>
      </w:r>
    </w:p>
    <w:p w14:paraId="3FEEA31A">
      <w:pPr>
        <w:pStyle w:val="8"/>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服务内容及需求：</w:t>
      </w:r>
    </w:p>
    <w:p w14:paraId="16C3BE85">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（1）服务内容：完成昆明鑫安道路设施维护有限公司清算工作，并出具清算报告。</w:t>
      </w:r>
    </w:p>
    <w:p w14:paraId="624FEECF">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（2）最近一个会计月结账日为审计基准日。</w:t>
      </w:r>
    </w:p>
    <w:p w14:paraId="19398B41">
      <w:pPr>
        <w:pStyle w:val="8"/>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hAnsi="宋体" w:cs="宋体"/>
          <w:b/>
          <w:bCs/>
          <w:color w:val="auto"/>
          <w:sz w:val="24"/>
          <w:szCs w:val="24"/>
          <w:highlight w:val="none"/>
          <w:lang w:val="en-US" w:eastAsia="zh-CN"/>
        </w:rPr>
        <w:t>服务周期</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自合同签订之日起至服务工作结束</w:t>
      </w:r>
      <w:r>
        <w:rPr>
          <w:rFonts w:hint="eastAsia" w:hAnsi="宋体" w:eastAsia="宋体" w:cs="宋体"/>
          <w:b w:val="0"/>
          <w:bCs w:val="0"/>
          <w:color w:val="auto"/>
          <w:sz w:val="24"/>
          <w:szCs w:val="24"/>
          <w:highlight w:val="none"/>
          <w:lang w:val="en-US" w:eastAsia="zh-CN"/>
        </w:rPr>
        <w:t>。</w:t>
      </w:r>
    </w:p>
    <w:p w14:paraId="24B5DEDB">
      <w:pPr>
        <w:pStyle w:val="8"/>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hAnsi="宋体" w:cs="宋体"/>
          <w:b/>
          <w:bCs/>
          <w:color w:val="auto"/>
          <w:sz w:val="24"/>
          <w:szCs w:val="24"/>
          <w:highlight w:val="none"/>
          <w:lang w:val="en-US" w:eastAsia="zh-CN"/>
        </w:rPr>
        <w:t>项目质量要求</w:t>
      </w:r>
      <w:r>
        <w:rPr>
          <w:rFonts w:hint="eastAsia" w:ascii="宋体" w:hAnsi="宋体" w:eastAsia="宋体" w:cs="宋体"/>
          <w:b/>
          <w:bCs/>
          <w:color w:val="auto"/>
          <w:sz w:val="24"/>
          <w:szCs w:val="24"/>
          <w:highlight w:val="none"/>
          <w:lang w:val="en-US" w:eastAsia="zh-CN"/>
        </w:rPr>
        <w:t>：</w:t>
      </w:r>
      <w:r>
        <w:rPr>
          <w:rFonts w:hint="eastAsia" w:ascii="宋体" w:hAnsi="宋体" w:cs="宋体"/>
          <w:color w:val="auto"/>
          <w:sz w:val="24"/>
          <w:szCs w:val="24"/>
          <w:highlight w:val="none"/>
          <w:lang w:eastAsia="zh-CN"/>
        </w:rPr>
        <w:t>符合现行国家、地方技术标准、规范，满足采购人的相关要求，保证</w:t>
      </w:r>
      <w:r>
        <w:rPr>
          <w:rFonts w:hint="eastAsia" w:hAnsi="宋体" w:cs="宋体"/>
          <w:color w:val="auto"/>
          <w:sz w:val="24"/>
          <w:szCs w:val="24"/>
          <w:highlight w:val="none"/>
          <w:lang w:val="en-US" w:eastAsia="zh-CN"/>
        </w:rPr>
        <w:t>服务要求</w:t>
      </w:r>
      <w:r>
        <w:rPr>
          <w:rFonts w:hint="eastAsia" w:ascii="宋体" w:hAnsi="宋体" w:cs="宋体"/>
          <w:color w:val="auto"/>
          <w:sz w:val="24"/>
          <w:szCs w:val="24"/>
          <w:highlight w:val="none"/>
          <w:lang w:val="en-US" w:eastAsia="zh-CN"/>
        </w:rPr>
        <w:t>及服务质量</w:t>
      </w:r>
      <w:r>
        <w:rPr>
          <w:rFonts w:hint="eastAsia" w:ascii="宋体" w:hAnsi="宋体" w:eastAsia="宋体" w:cs="宋体"/>
          <w:color w:val="auto"/>
          <w:sz w:val="24"/>
          <w:szCs w:val="24"/>
          <w:highlight w:val="none"/>
        </w:rPr>
        <w:t>。</w:t>
      </w:r>
    </w:p>
    <w:p w14:paraId="31FD4834">
      <w:pPr>
        <w:spacing w:line="52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bookmarkStart w:id="149" w:name="_Toc640"/>
      <w:r>
        <w:rPr>
          <w:rFonts w:hint="eastAsia" w:ascii="宋体" w:hAnsi="宋体" w:eastAsia="宋体" w:cs="宋体"/>
          <w:color w:val="auto"/>
          <w:sz w:val="36"/>
          <w:szCs w:val="36"/>
          <w:highlight w:val="none"/>
        </w:rPr>
        <w:t>第五章 合同条款及格式</w:t>
      </w:r>
      <w:bookmarkEnd w:id="149"/>
    </w:p>
    <w:p w14:paraId="01542DCD">
      <w:pPr>
        <w:pStyle w:val="8"/>
        <w:rPr>
          <w:rFonts w:hint="eastAsia" w:ascii="宋体" w:hAnsi="宋体" w:eastAsia="宋体" w:cs="宋体"/>
          <w:color w:val="auto"/>
          <w:highlight w:val="none"/>
        </w:rPr>
      </w:pPr>
    </w:p>
    <w:p w14:paraId="3E0FE4A0">
      <w:pPr>
        <w:widowControl w:val="0"/>
        <w:spacing w:line="360" w:lineRule="auto"/>
        <w:jc w:val="center"/>
        <w:rPr>
          <w:rFonts w:hint="eastAsia" w:ascii="宋体" w:hAnsi="宋体" w:eastAsia="宋体" w:cs="Times New Roman"/>
          <w:color w:val="auto"/>
          <w:kern w:val="2"/>
          <w:sz w:val="24"/>
          <w:szCs w:val="24"/>
          <w:highlight w:val="none"/>
        </w:rPr>
      </w:pPr>
      <w:bookmarkStart w:id="150" w:name="_Toc3310630"/>
      <w:bookmarkStart w:id="151" w:name="Book35"/>
      <w:bookmarkStart w:id="152" w:name="_Toc3310381"/>
      <w:bookmarkStart w:id="153" w:name="_Toc3310537"/>
      <w:r>
        <w:rPr>
          <w:rFonts w:hint="eastAsia" w:ascii="宋体" w:hAnsi="宋体" w:eastAsia="宋体" w:cs="Times New Roman"/>
          <w:color w:val="auto"/>
          <w:kern w:val="2"/>
          <w:sz w:val="24"/>
          <w:szCs w:val="24"/>
          <w:highlight w:val="none"/>
        </w:rPr>
        <w:t>（具体条款由成交人及采购人另行协商签订，但不得改变</w:t>
      </w:r>
      <w:r>
        <w:rPr>
          <w:rFonts w:hint="eastAsia" w:ascii="宋体" w:hAnsi="宋体" w:eastAsia="宋体" w:cs="Times New Roman"/>
          <w:color w:val="auto"/>
          <w:kern w:val="2"/>
          <w:sz w:val="24"/>
          <w:szCs w:val="24"/>
          <w:highlight w:val="none"/>
          <w:lang w:val="en-US" w:eastAsia="zh-CN"/>
        </w:rPr>
        <w:t>询价</w:t>
      </w:r>
      <w:r>
        <w:rPr>
          <w:rFonts w:hint="eastAsia" w:ascii="宋体" w:hAnsi="宋体" w:eastAsia="宋体" w:cs="Times New Roman"/>
          <w:color w:val="auto"/>
          <w:kern w:val="2"/>
          <w:sz w:val="24"/>
          <w:szCs w:val="24"/>
          <w:highlight w:val="none"/>
        </w:rPr>
        <w:t>文件及成交人响应文件的实质性条款。）</w:t>
      </w:r>
    </w:p>
    <w:bookmarkEnd w:id="150"/>
    <w:bookmarkEnd w:id="151"/>
    <w:bookmarkEnd w:id="152"/>
    <w:bookmarkEnd w:id="153"/>
    <w:p w14:paraId="20806BAF">
      <w:pPr>
        <w:widowControl w:val="0"/>
        <w:autoSpaceDE w:val="0"/>
        <w:autoSpaceDN w:val="0"/>
        <w:adjustRightInd w:val="0"/>
        <w:spacing w:line="360" w:lineRule="auto"/>
        <w:ind w:right="-72"/>
        <w:rPr>
          <w:b/>
          <w:color w:val="auto"/>
          <w:sz w:val="18"/>
          <w:szCs w:val="18"/>
          <w:highlight w:val="none"/>
        </w:rPr>
      </w:pPr>
      <w:r>
        <w:rPr>
          <w:color w:val="auto"/>
          <w:highlight w:val="none"/>
        </w:rPr>
        <w:t xml:space="preserve">合同编号：                      合同自编号： </w:t>
      </w:r>
      <w:r>
        <w:rPr>
          <w:color w:val="auto"/>
          <w:highlight w:val="none"/>
        </w:rPr>
        <w:tab/>
      </w:r>
      <w:r>
        <w:rPr>
          <w:color w:val="auto"/>
          <w:highlight w:val="none"/>
        </w:rPr>
        <w:tab/>
      </w:r>
      <w:r>
        <w:rPr>
          <w:color w:val="auto"/>
          <w:highlight w:val="none"/>
        </w:rPr>
        <w:t xml:space="preserve">               项目编号：  </w:t>
      </w:r>
    </w:p>
    <w:p w14:paraId="59562860">
      <w:pPr>
        <w:widowControl w:val="0"/>
        <w:autoSpaceDE w:val="0"/>
        <w:autoSpaceDN w:val="0"/>
        <w:adjustRightInd w:val="0"/>
        <w:spacing w:line="360" w:lineRule="auto"/>
        <w:ind w:right="568"/>
        <w:rPr>
          <w:color w:val="auto"/>
          <w:sz w:val="32"/>
          <w:szCs w:val="32"/>
          <w:highlight w:val="none"/>
        </w:rPr>
      </w:pPr>
      <w:r>
        <w:rPr>
          <w:color w:val="auto"/>
          <w:sz w:val="32"/>
          <w:szCs w:val="32"/>
          <w:highlight w:val="none"/>
        </w:rPr>
        <w:t>●本合同须加盖甲乙双方骑缝章有效</w:t>
      </w:r>
    </w:p>
    <w:p w14:paraId="279F5297">
      <w:pPr>
        <w:widowControl w:val="0"/>
        <w:autoSpaceDE w:val="0"/>
        <w:autoSpaceDN w:val="0"/>
        <w:adjustRightInd w:val="0"/>
        <w:spacing w:line="360" w:lineRule="auto"/>
        <w:jc w:val="center"/>
        <w:rPr>
          <w:color w:val="auto"/>
          <w:sz w:val="32"/>
          <w:szCs w:val="32"/>
          <w:highlight w:val="none"/>
        </w:rPr>
      </w:pPr>
    </w:p>
    <w:p w14:paraId="74D868A7">
      <w:pPr>
        <w:widowControl w:val="0"/>
        <w:autoSpaceDE w:val="0"/>
        <w:autoSpaceDN w:val="0"/>
        <w:adjustRightInd w:val="0"/>
        <w:spacing w:line="360" w:lineRule="auto"/>
        <w:jc w:val="center"/>
        <w:rPr>
          <w:color w:val="auto"/>
          <w:sz w:val="32"/>
          <w:szCs w:val="32"/>
          <w:highlight w:val="none"/>
        </w:rPr>
      </w:pPr>
    </w:p>
    <w:p w14:paraId="6D100BBA">
      <w:pPr>
        <w:widowControl w:val="0"/>
        <w:autoSpaceDE w:val="0"/>
        <w:autoSpaceDN w:val="0"/>
        <w:adjustRightInd w:val="0"/>
        <w:spacing w:line="360" w:lineRule="auto"/>
        <w:jc w:val="center"/>
        <w:rPr>
          <w:rFonts w:hint="eastAsia"/>
          <w:b/>
          <w:color w:val="auto"/>
          <w:sz w:val="44"/>
          <w:szCs w:val="44"/>
          <w:highlight w:val="none"/>
          <w:lang w:val="en-US" w:eastAsia="zh-CN"/>
        </w:rPr>
      </w:pPr>
    </w:p>
    <w:p w14:paraId="612D761F">
      <w:pPr>
        <w:widowControl w:val="0"/>
        <w:autoSpaceDE w:val="0"/>
        <w:autoSpaceDN w:val="0"/>
        <w:adjustRightInd w:val="0"/>
        <w:spacing w:line="360" w:lineRule="auto"/>
        <w:jc w:val="center"/>
        <w:rPr>
          <w:b/>
          <w:color w:val="auto"/>
          <w:sz w:val="44"/>
          <w:szCs w:val="44"/>
          <w:highlight w:val="none"/>
        </w:rPr>
      </w:pPr>
      <w:r>
        <w:rPr>
          <w:rFonts w:hint="eastAsia"/>
          <w:b/>
          <w:color w:val="auto"/>
          <w:sz w:val="44"/>
          <w:szCs w:val="44"/>
          <w:highlight w:val="none"/>
          <w:lang w:val="en-US" w:eastAsia="zh-CN"/>
        </w:rPr>
        <w:t>服务</w:t>
      </w:r>
      <w:r>
        <w:rPr>
          <w:b/>
          <w:color w:val="auto"/>
          <w:sz w:val="44"/>
          <w:szCs w:val="44"/>
          <w:highlight w:val="none"/>
        </w:rPr>
        <w:t>类</w:t>
      </w:r>
    </w:p>
    <w:p w14:paraId="20B8AC2F">
      <w:pPr>
        <w:widowControl w:val="0"/>
        <w:autoSpaceDE w:val="0"/>
        <w:autoSpaceDN w:val="0"/>
        <w:adjustRightInd w:val="0"/>
        <w:spacing w:line="360" w:lineRule="auto"/>
        <w:jc w:val="center"/>
        <w:rPr>
          <w:b/>
          <w:color w:val="auto"/>
          <w:sz w:val="44"/>
          <w:szCs w:val="44"/>
          <w:highlight w:val="none"/>
        </w:rPr>
      </w:pPr>
      <w:r>
        <w:rPr>
          <w:color w:val="auto"/>
          <w:sz w:val="33"/>
          <w:szCs w:val="33"/>
          <w:highlight w:val="none"/>
        </w:rPr>
        <w:t>（委托采购）</w:t>
      </w:r>
    </w:p>
    <w:p w14:paraId="21F2F865">
      <w:pPr>
        <w:widowControl w:val="0"/>
        <w:autoSpaceDE w:val="0"/>
        <w:autoSpaceDN w:val="0"/>
        <w:adjustRightInd w:val="0"/>
        <w:spacing w:line="360" w:lineRule="auto"/>
        <w:jc w:val="center"/>
        <w:rPr>
          <w:color w:val="auto"/>
          <w:sz w:val="18"/>
          <w:szCs w:val="18"/>
          <w:highlight w:val="none"/>
        </w:rPr>
      </w:pPr>
    </w:p>
    <w:p w14:paraId="09279DB1">
      <w:pPr>
        <w:widowControl w:val="0"/>
        <w:autoSpaceDE w:val="0"/>
        <w:autoSpaceDN w:val="0"/>
        <w:adjustRightInd w:val="0"/>
        <w:spacing w:line="360" w:lineRule="auto"/>
        <w:jc w:val="center"/>
        <w:rPr>
          <w:color w:val="auto"/>
          <w:sz w:val="18"/>
          <w:szCs w:val="18"/>
          <w:highlight w:val="none"/>
        </w:rPr>
      </w:pPr>
    </w:p>
    <w:p w14:paraId="5186989B">
      <w:pPr>
        <w:widowControl w:val="0"/>
        <w:autoSpaceDE w:val="0"/>
        <w:autoSpaceDN w:val="0"/>
        <w:adjustRightInd w:val="0"/>
        <w:spacing w:line="360" w:lineRule="auto"/>
        <w:jc w:val="center"/>
        <w:rPr>
          <w:color w:val="auto"/>
          <w:sz w:val="84"/>
          <w:szCs w:val="84"/>
          <w:highlight w:val="none"/>
        </w:rPr>
      </w:pPr>
      <w:r>
        <w:rPr>
          <w:color w:val="auto"/>
          <w:sz w:val="84"/>
          <w:szCs w:val="84"/>
          <w:highlight w:val="none"/>
        </w:rPr>
        <w:t xml:space="preserve">合 </w:t>
      </w:r>
    </w:p>
    <w:p w14:paraId="66495B12">
      <w:pPr>
        <w:widowControl w:val="0"/>
        <w:autoSpaceDE w:val="0"/>
        <w:autoSpaceDN w:val="0"/>
        <w:adjustRightInd w:val="0"/>
        <w:spacing w:line="360" w:lineRule="auto"/>
        <w:jc w:val="center"/>
        <w:rPr>
          <w:color w:val="auto"/>
          <w:sz w:val="72"/>
          <w:szCs w:val="72"/>
          <w:highlight w:val="none"/>
        </w:rPr>
      </w:pPr>
      <w:r>
        <w:rPr>
          <w:color w:val="auto"/>
          <w:sz w:val="84"/>
          <w:szCs w:val="84"/>
          <w:highlight w:val="none"/>
        </w:rPr>
        <w:t xml:space="preserve">同 </w:t>
      </w:r>
    </w:p>
    <w:p w14:paraId="593F778E">
      <w:pPr>
        <w:widowControl w:val="0"/>
        <w:autoSpaceDE w:val="0"/>
        <w:autoSpaceDN w:val="0"/>
        <w:adjustRightInd w:val="0"/>
        <w:spacing w:line="360" w:lineRule="auto"/>
        <w:jc w:val="center"/>
        <w:rPr>
          <w:color w:val="auto"/>
          <w:sz w:val="84"/>
          <w:szCs w:val="84"/>
          <w:highlight w:val="none"/>
        </w:rPr>
      </w:pPr>
      <w:r>
        <w:rPr>
          <w:color w:val="auto"/>
          <w:sz w:val="84"/>
          <w:szCs w:val="84"/>
          <w:highlight w:val="none"/>
        </w:rPr>
        <w:t xml:space="preserve">书 </w:t>
      </w:r>
    </w:p>
    <w:p w14:paraId="31B3B2FE">
      <w:pPr>
        <w:widowControl w:val="0"/>
        <w:autoSpaceDE w:val="0"/>
        <w:autoSpaceDN w:val="0"/>
        <w:adjustRightInd w:val="0"/>
        <w:spacing w:line="360" w:lineRule="auto"/>
        <w:jc w:val="center"/>
        <w:rPr>
          <w:b/>
          <w:color w:val="auto"/>
          <w:sz w:val="28"/>
          <w:szCs w:val="28"/>
          <w:highlight w:val="none"/>
          <w:lang w:val="zh-CN"/>
        </w:rPr>
      </w:pPr>
      <w:r>
        <w:rPr>
          <w:b/>
          <w:color w:val="auto"/>
          <w:sz w:val="28"/>
          <w:szCs w:val="28"/>
          <w:highlight w:val="none"/>
          <w:lang w:val="zh-CN"/>
        </w:rPr>
        <w:t>签订地点：</w:t>
      </w:r>
    </w:p>
    <w:p w14:paraId="07E13293">
      <w:pPr>
        <w:widowControl w:val="0"/>
        <w:autoSpaceDE w:val="0"/>
        <w:autoSpaceDN w:val="0"/>
        <w:adjustRightInd w:val="0"/>
        <w:spacing w:line="360" w:lineRule="auto"/>
        <w:jc w:val="center"/>
        <w:rPr>
          <w:b/>
          <w:color w:val="auto"/>
          <w:sz w:val="28"/>
          <w:szCs w:val="28"/>
          <w:highlight w:val="none"/>
          <w:lang w:val="zh-CN"/>
        </w:rPr>
      </w:pPr>
      <w:r>
        <w:rPr>
          <w:b/>
          <w:color w:val="auto"/>
          <w:sz w:val="28"/>
          <w:szCs w:val="28"/>
          <w:highlight w:val="none"/>
          <w:lang w:val="zh-CN"/>
        </w:rPr>
        <w:t xml:space="preserve">签订日期：   </w:t>
      </w:r>
      <w:r>
        <w:rPr>
          <w:b/>
          <w:color w:val="auto"/>
          <w:sz w:val="28"/>
          <w:szCs w:val="28"/>
          <w:highlight w:val="none"/>
        </w:rPr>
        <w:t xml:space="preserve"> </w:t>
      </w:r>
      <w:r>
        <w:rPr>
          <w:b/>
          <w:color w:val="auto"/>
          <w:sz w:val="28"/>
          <w:szCs w:val="28"/>
          <w:highlight w:val="none"/>
          <w:lang w:val="zh-CN"/>
        </w:rPr>
        <w:t>年</w:t>
      </w:r>
      <w:r>
        <w:rPr>
          <w:b/>
          <w:color w:val="auto"/>
          <w:sz w:val="28"/>
          <w:szCs w:val="28"/>
          <w:highlight w:val="none"/>
        </w:rPr>
        <w:t xml:space="preserve">  </w:t>
      </w:r>
      <w:r>
        <w:rPr>
          <w:b/>
          <w:color w:val="auto"/>
          <w:sz w:val="28"/>
          <w:szCs w:val="28"/>
          <w:highlight w:val="none"/>
          <w:lang w:val="zh-CN"/>
        </w:rPr>
        <w:t>月</w:t>
      </w:r>
      <w:r>
        <w:rPr>
          <w:b/>
          <w:color w:val="auto"/>
          <w:sz w:val="28"/>
          <w:szCs w:val="28"/>
          <w:highlight w:val="none"/>
        </w:rPr>
        <w:t xml:space="preserve">  </w:t>
      </w:r>
      <w:r>
        <w:rPr>
          <w:b/>
          <w:color w:val="auto"/>
          <w:sz w:val="28"/>
          <w:szCs w:val="28"/>
          <w:highlight w:val="none"/>
          <w:lang w:val="zh-CN"/>
        </w:rPr>
        <w:t>日</w:t>
      </w:r>
    </w:p>
    <w:p w14:paraId="47644B71">
      <w:pPr>
        <w:spacing w:line="360" w:lineRule="auto"/>
        <w:ind w:firstLine="480" w:firstLineChars="200"/>
        <w:rPr>
          <w:rFonts w:hint="eastAsia" w:ascii="宋体" w:hAnsi="宋体" w:eastAsia="宋体"/>
          <w:color w:val="auto"/>
          <w:sz w:val="24"/>
          <w:szCs w:val="21"/>
          <w:highlight w:val="none"/>
          <w:lang w:eastAsia="zh-CN"/>
        </w:rPr>
      </w:pPr>
      <w:r>
        <w:rPr>
          <w:color w:val="auto"/>
          <w:sz w:val="24"/>
          <w:szCs w:val="24"/>
          <w:highlight w:val="none"/>
        </w:rPr>
        <w:br w:type="page"/>
      </w:r>
      <w:r>
        <w:rPr>
          <w:rFonts w:hint="eastAsia" w:ascii="宋体" w:hAnsi="宋体"/>
          <w:color w:val="auto"/>
          <w:sz w:val="24"/>
          <w:szCs w:val="21"/>
          <w:highlight w:val="none"/>
        </w:rPr>
        <w:t>甲方：</w:t>
      </w:r>
      <w:r>
        <w:rPr>
          <w:rFonts w:hint="eastAsia" w:ascii="宋体" w:hAnsi="宋体"/>
          <w:color w:val="auto"/>
          <w:sz w:val="24"/>
          <w:szCs w:val="21"/>
          <w:highlight w:val="none"/>
          <w:lang w:val="en-US" w:eastAsia="zh-CN"/>
        </w:rPr>
        <w:t xml:space="preserve"> </w:t>
      </w:r>
    </w:p>
    <w:p w14:paraId="25547461">
      <w:pPr>
        <w:spacing w:line="360" w:lineRule="auto"/>
        <w:ind w:firstLine="480" w:firstLineChars="200"/>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乙方：</w:t>
      </w:r>
      <w:r>
        <w:rPr>
          <w:rFonts w:hint="eastAsia" w:ascii="宋体" w:hAnsi="宋体"/>
          <w:color w:val="auto"/>
          <w:sz w:val="24"/>
          <w:szCs w:val="21"/>
          <w:highlight w:val="none"/>
          <w:lang w:val="en-US" w:eastAsia="zh-CN"/>
        </w:rPr>
        <w:t xml:space="preserve"> </w:t>
      </w:r>
    </w:p>
    <w:p w14:paraId="37A3F24A">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一、业务范围与审计目标</w:t>
      </w:r>
    </w:p>
    <w:p w14:paraId="6CF3D188">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乙方接受甲方委托，在以甲方</w:t>
      </w:r>
      <w:r>
        <w:rPr>
          <w:rFonts w:hint="eastAsia" w:ascii="宋体" w:hAnsi="宋体"/>
          <w:iCs/>
          <w:color w:val="auto"/>
          <w:sz w:val="24"/>
          <w:szCs w:val="21"/>
          <w:highlight w:val="none"/>
        </w:rPr>
        <w:t>确定的清算审计基准日的基础上，</w:t>
      </w:r>
      <w:r>
        <w:rPr>
          <w:rFonts w:ascii="宋体" w:hAnsi="宋体"/>
          <w:iCs/>
          <w:color w:val="auto"/>
          <w:sz w:val="24"/>
          <w:szCs w:val="21"/>
          <w:highlight w:val="none"/>
        </w:rPr>
        <w:t>对</w:t>
      </w:r>
      <w:r>
        <w:rPr>
          <w:rFonts w:hint="eastAsia" w:ascii="宋体" w:hAnsi="宋体"/>
          <w:iCs/>
          <w:color w:val="auto"/>
          <w:sz w:val="24"/>
          <w:szCs w:val="21"/>
          <w:highlight w:val="none"/>
        </w:rPr>
        <w:t>甲方开展清算</w:t>
      </w:r>
      <w:r>
        <w:rPr>
          <w:rFonts w:ascii="宋体" w:hAnsi="宋体"/>
          <w:iCs/>
          <w:color w:val="auto"/>
          <w:sz w:val="24"/>
          <w:szCs w:val="21"/>
          <w:highlight w:val="none"/>
        </w:rPr>
        <w:t>审计，发表审计意见</w:t>
      </w:r>
      <w:r>
        <w:rPr>
          <w:rFonts w:hint="eastAsia" w:ascii="宋体" w:hAnsi="宋体"/>
          <w:iCs/>
          <w:color w:val="auto"/>
          <w:sz w:val="24"/>
          <w:szCs w:val="21"/>
          <w:highlight w:val="none"/>
        </w:rPr>
        <w:t>，出具清算审计报告</w:t>
      </w:r>
      <w:r>
        <w:rPr>
          <w:rFonts w:hint="eastAsia" w:ascii="宋体" w:hAnsi="宋体"/>
          <w:color w:val="auto"/>
          <w:sz w:val="24"/>
          <w:szCs w:val="21"/>
          <w:highlight w:val="none"/>
        </w:rPr>
        <w:t>。</w:t>
      </w:r>
    </w:p>
    <w:p w14:paraId="6DD00CCB">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二、甲方的责任与义务</w:t>
      </w:r>
    </w:p>
    <w:p w14:paraId="09B7AEF8">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（一）甲方的责任</w:t>
      </w:r>
    </w:p>
    <w:p w14:paraId="6B322523">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根据《中华人民共和国会计法》及《企业财务会计报告条例》，甲方及甲方管理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14:paraId="5488AFC5">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按照企业会计准则的规定编制财务报表是甲方管理层的责任，这种责任包括：（1）设计、实施和维护与财务报表编制相关的内部控制，以使财务报表不存在由于舞弊或错误而导致的重大错报；（2）选择和运用恰当的会计政策；（3）作出合理的会计估计。</w:t>
      </w:r>
    </w:p>
    <w:p w14:paraId="59C6C3B0">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（二）甲方的义务</w:t>
      </w:r>
    </w:p>
    <w:p w14:paraId="547798A6">
      <w:pPr>
        <w:spacing w:line="360" w:lineRule="auto"/>
        <w:ind w:left="400" w:leftChars="200"/>
        <w:rPr>
          <w:rFonts w:hint="eastAsia" w:ascii="宋体" w:hAnsi="宋体"/>
          <w:color w:val="auto"/>
          <w:sz w:val="24"/>
          <w:szCs w:val="21"/>
          <w:highlight w:val="none"/>
        </w:rPr>
      </w:pPr>
      <w:r>
        <w:rPr>
          <w:rFonts w:hint="eastAsia" w:ascii="宋体" w:hAnsi="宋体"/>
          <w:color w:val="auto"/>
          <w:sz w:val="24"/>
          <w:szCs w:val="21"/>
          <w:highlight w:val="none"/>
        </w:rPr>
        <w:t xml:space="preserve">1、及时为乙方的审计工作提供其所要求的全部会计资料和其他有关资料（在  </w:t>
      </w:r>
      <w:r>
        <w:rPr>
          <w:rFonts w:ascii="宋体" w:hAnsi="宋体"/>
          <w:color w:val="auto"/>
          <w:sz w:val="24"/>
          <w:szCs w:val="21"/>
          <w:highlight w:val="none"/>
        </w:rPr>
        <w:t xml:space="preserve">  </w:t>
      </w:r>
      <w:r>
        <w:rPr>
          <w:rFonts w:hint="eastAsia" w:ascii="宋体" w:hAnsi="宋体"/>
          <w:color w:val="auto"/>
          <w:sz w:val="24"/>
          <w:szCs w:val="21"/>
          <w:highlight w:val="none"/>
        </w:rPr>
        <w:t>年  月  日之前提供审计所需的全部资料），并保证所提供资料的真实性和完整性。</w:t>
      </w:r>
    </w:p>
    <w:p w14:paraId="60F7E3F2">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2、确保乙方不受限制的接触任何与审计有关的记录、文件和所需的其他信息。</w:t>
      </w:r>
    </w:p>
    <w:p w14:paraId="4BF3BA12">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3、为满足乙方对甲方合并财务报表发表审计意见的需要，甲方须确保：</w:t>
      </w:r>
    </w:p>
    <w:p w14:paraId="66EE6BEE">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（1）乙方和为组成部分执行审计的其他会计师事务所的注册会计师（以下简称其他注</w:t>
      </w:r>
    </w:p>
    <w:p w14:paraId="39B8D52A">
      <w:pPr>
        <w:spacing w:line="360" w:lineRule="auto"/>
        <w:rPr>
          <w:rFonts w:hint="eastAsia" w:ascii="宋体" w:hAnsi="宋体"/>
          <w:color w:val="auto"/>
          <w:sz w:val="24"/>
          <w:szCs w:val="21"/>
          <w:highlight w:val="none"/>
        </w:rPr>
      </w:pPr>
      <w:r>
        <w:rPr>
          <w:rFonts w:hint="eastAsia" w:ascii="宋体" w:hAnsi="宋体"/>
          <w:color w:val="auto"/>
          <w:sz w:val="24"/>
          <w:szCs w:val="21"/>
          <w:highlight w:val="none"/>
        </w:rPr>
        <w:t>册会计师）之间的沟通不受任何限制。</w:t>
      </w:r>
    </w:p>
    <w:p w14:paraId="09BA71DB">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（2）组成部分是指甲方的子公司、分部、分公司、合营企业、联营企业等。</w:t>
      </w:r>
    </w:p>
    <w:p w14:paraId="41E91564">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如果甲方的管理层、负责编制组成部分财务信息的管理层（以下简称组成部分管理层）对其他注册会计师的审计范围施加了限制，或客观环境使其他注册会计师的审计范围受限制，甲方管理层和组成部分管理层应当及时告知乙方。</w:t>
      </w:r>
    </w:p>
    <w:p w14:paraId="24C39013">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（4）乙方及时获悉其他注册会计师与组成部份治理层和管理层之间的重要沟通（包括就内部控制重大缺陷进行的沟通）。</w:t>
      </w:r>
    </w:p>
    <w:p w14:paraId="4DF063E3">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（5）乙方及时获悉组成部分治理层和管理层与监管机构就财务信息事项进行的重要沟通。</w:t>
      </w:r>
    </w:p>
    <w:p w14:paraId="497DED01">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（6）在乙方认为必要时，允许乙方接触组成部分信息、组成部分管理层或其他注册会计师（包括其他注册会计师的审计工作底稿），并允许乙方对组成部分的财务信息实施审计程序。</w:t>
      </w:r>
    </w:p>
    <w:p w14:paraId="6FA9411A">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4、甲方管理层对其作出的与审计有关的声明予以书面确认。</w:t>
      </w:r>
    </w:p>
    <w:p w14:paraId="2CA90700">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5、为乙方派出的工作人员提供必须的工作条件和协助，主要事项将由乙方于外勤工作开始提前提供清单。</w:t>
      </w:r>
    </w:p>
    <w:p w14:paraId="6BA6383F">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6、按本约定书的约定及时足额支付审计费用以及乙方人员在审计期间的交通、食宿和其他相关费用。</w:t>
      </w:r>
    </w:p>
    <w:p w14:paraId="138605E8">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三、乙方的责任与义务</w:t>
      </w:r>
    </w:p>
    <w:p w14:paraId="448B087D">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（一）乙方的责任</w:t>
      </w:r>
    </w:p>
    <w:p w14:paraId="43F003A9">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1、乙方的责任是在甲方</w:t>
      </w:r>
      <w:r>
        <w:rPr>
          <w:rFonts w:hint="eastAsia" w:ascii="宋体" w:hAnsi="宋体"/>
          <w:iCs/>
          <w:color w:val="auto"/>
          <w:sz w:val="24"/>
          <w:szCs w:val="21"/>
          <w:highlight w:val="none"/>
        </w:rPr>
        <w:t>确定的清算审计基准日的基础上，</w:t>
      </w:r>
      <w:r>
        <w:rPr>
          <w:rFonts w:ascii="宋体" w:hAnsi="宋体"/>
          <w:iCs/>
          <w:color w:val="auto"/>
          <w:sz w:val="24"/>
          <w:szCs w:val="21"/>
          <w:highlight w:val="none"/>
        </w:rPr>
        <w:t>对</w:t>
      </w:r>
      <w:r>
        <w:rPr>
          <w:rFonts w:hint="eastAsia" w:ascii="宋体" w:hAnsi="宋体"/>
          <w:iCs/>
          <w:color w:val="auto"/>
          <w:sz w:val="24"/>
          <w:szCs w:val="21"/>
          <w:highlight w:val="none"/>
        </w:rPr>
        <w:t>甲方开展清算</w:t>
      </w:r>
      <w:r>
        <w:rPr>
          <w:rFonts w:ascii="宋体" w:hAnsi="宋体"/>
          <w:iCs/>
          <w:color w:val="auto"/>
          <w:sz w:val="24"/>
          <w:szCs w:val="21"/>
          <w:highlight w:val="none"/>
        </w:rPr>
        <w:t>审计，发表审计意见</w:t>
      </w:r>
      <w:r>
        <w:rPr>
          <w:rFonts w:hint="eastAsia" w:ascii="宋体" w:hAnsi="宋体"/>
          <w:iCs/>
          <w:color w:val="auto"/>
          <w:sz w:val="24"/>
          <w:szCs w:val="21"/>
          <w:highlight w:val="none"/>
        </w:rPr>
        <w:t>，出具清算审计报告</w:t>
      </w:r>
      <w:r>
        <w:rPr>
          <w:rFonts w:hint="eastAsia" w:ascii="宋体" w:hAnsi="宋体"/>
          <w:color w:val="auto"/>
          <w:sz w:val="24"/>
          <w:szCs w:val="21"/>
          <w:highlight w:val="none"/>
        </w:rPr>
        <w:t>。乙方按照中国注册会计师审计准则（以下简称审计准则）的规定进行审计。审计准则要求注册会计师遵守职业道德规范，计划实施和审计工作，以对财务报表是否不存在重大错报获取合理保证。</w:t>
      </w:r>
    </w:p>
    <w:p w14:paraId="63305285">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2、乙方不对非由乙方审计组成部分的财务信息单独出具审计报告；有关的责任由对该组成部分执行审计的其他注册会计师及其所在会计师事务所承担。</w:t>
      </w:r>
    </w:p>
    <w:p w14:paraId="1F61568F">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审计工作涉及实施审计工作程序，以获取有关财务报表金额和披露的审计证据。选择的审计程序取决于乙方的判断，包括对由于舞弊或错误导致的财务报表重大错报风险的评估。在进行风险评估时，乙方考虑与财务报表编制的相关的内部控制，以设计恰当的审计程序，但目的并非对内控的有效性发表意见。审计工作还包括评价管理层选用会计政策的恰当性和作出会计估计的合理性，以及评价财务报表的总体列报。</w:t>
      </w:r>
    </w:p>
    <w:p w14:paraId="53E9A1C8">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4、乙方需要合理计划和实施审计工作，以使乙方能够获取充分、适当的审计证据，为甲方财务报表是否不存在重大错报获取合理保证。</w:t>
      </w:r>
    </w:p>
    <w:p w14:paraId="4DE51056">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5、乙方有责任在审计报告中指明所发现的甲方在某重大方面没有遵循企业会计准则编制财务报表且未按乙方的建议进行调整的事项。</w:t>
      </w:r>
    </w:p>
    <w:p w14:paraId="071DA0B4">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6、由于测试的性质和审计的其他固有限制，以及内部控制的固有局限性，不可避免的存在着某些重大错报在审计后可能仍然未被乙方发现的风险。</w:t>
      </w:r>
    </w:p>
    <w:p w14:paraId="343EA47F">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7、审计过程中，乙方若发现甲方内部控制存在乙方认为的重要缺陷，应向甲方治理层或管理层沟通。但乙方沟通各种事项，并不代表已全面说明所有可能存在的缺陷或已提出所有可行的改善建议。甲方在实施乙方提出的改善建议前应全面评估其影响。未经乙方书面许可，甲方不得向任何第三方提供乙方出具的沟通文件。</w:t>
      </w:r>
    </w:p>
    <w:p w14:paraId="21177C70">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8、乙方的审计不能减轻甲方及甲方管理层的责任。</w:t>
      </w:r>
    </w:p>
    <w:p w14:paraId="586EFBE8">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（二）乙方的义务</w:t>
      </w:r>
    </w:p>
    <w:p w14:paraId="6E54462B">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1、按照约定时间完成清算审计工作，于     年     月     日出具审计报告。</w:t>
      </w:r>
    </w:p>
    <w:p w14:paraId="70C59673">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除下列情况外，乙方应当对执行业务过程中知悉的甲方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14:paraId="253E5B53">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四、审计收费</w:t>
      </w:r>
    </w:p>
    <w:p w14:paraId="74388399">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（一）本次清算审计服务费用总额为(大写)人民币</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整（RMB</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元），其中，不含税金额</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元，税金</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元，税率</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w:t>
      </w:r>
    </w:p>
    <w:p w14:paraId="204735BC">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（二）甲方应于审计报告完成后一次性结清上述费用。</w:t>
      </w:r>
    </w:p>
    <w:p w14:paraId="7071D86B">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（三）如果由于无法预见的原因，致使乙方从事本约定书所涉及的审计服务实际时间较本约定书签订时预计的时间有明显增加或减少时，甲乙双方应通过协商，相应调整本约定书第四条第1项下所述的审计费用。</w:t>
      </w:r>
    </w:p>
    <w:p w14:paraId="546FD498">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四）如果由于无法预见的原因，致使乙方人员抵达甲方的工作现场后，本约定书所涉及的审计服务不再进行，甲方不得要求退还预付的审计费用；如上述情况发生于乙方人员完成现场审计工作，并离开甲方的工作现场之后，甲方应另行向乙方支付人民币</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元的补偿费，该补偿费应于甲方收到乙方的收款通知之日起</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日内支付。</w:t>
      </w:r>
    </w:p>
    <w:p w14:paraId="3C51545F">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（五）与本次审计有关的其他费用（包括交通费、食宿费等）由</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承担。</w:t>
      </w:r>
    </w:p>
    <w:p w14:paraId="6ADEFB46">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五、审计报告和审计报告的使用</w:t>
      </w:r>
    </w:p>
    <w:p w14:paraId="775B4203">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（一）乙方向甲方致送审计报告一式肆份。</w:t>
      </w:r>
    </w:p>
    <w:p w14:paraId="3D1914B2">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二）甲方在提交或对外公布审计报告时，不得修改乙方出具的审计报告及其后附的已审计财务报表。当甲方认为有必要修改会计数据、报表附注和所作的说明时，应当事先通知乙方，乙方将考虑有关修改对审计报告的影响，必要时，将重新出具审计报告。</w:t>
      </w:r>
    </w:p>
    <w:p w14:paraId="7BFCFA52">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六、本约定书的有效期限</w:t>
      </w:r>
    </w:p>
    <w:p w14:paraId="55C02AE4">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本约定书自签署之日起生效，并在双方履行完毕本约定书约定的所有义务后终止。但其中第三（二）2、四、五、六、八、九、十项并不因本约定书终止而失效。</w:t>
      </w:r>
    </w:p>
    <w:p w14:paraId="6492B2E4">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七、约定事项的变更</w:t>
      </w:r>
    </w:p>
    <w:p w14:paraId="4AF66FAD">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如果出现不可预见的情况，影响审计工作如期完成，或需要提前出具审计报告，甲乙双方均可要求变更约定事项，但应及时通知对方，并由双方协商解决。</w:t>
      </w:r>
    </w:p>
    <w:p w14:paraId="49019D0B">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八、终止条款</w:t>
      </w:r>
    </w:p>
    <w:p w14:paraId="5F6349F8">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一）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14:paraId="1DD353FF">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（二）在终止业务约定的情况下，乙方有权就其于本约定书终止之日前对约定的审计服务项目所作的工作收取合理的审计费用。</w:t>
      </w:r>
    </w:p>
    <w:p w14:paraId="475151B3">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九、违约责任</w:t>
      </w:r>
    </w:p>
    <w:p w14:paraId="521FC649">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甲、乙双方按照《中华人民共和国合同法》的规定承担违约责任。</w:t>
      </w:r>
    </w:p>
    <w:p w14:paraId="1B0004E4">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十、适用法律和争议解决</w:t>
      </w:r>
    </w:p>
    <w:p w14:paraId="2C63900E">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本约定书所有方面均适用中华人民共和国法律进行解释并受其约束。本约定书履行地为乙方出具审计报告所在地，因本约定书所引起的或与本约定书有关的任何纠纷或争议（包括关于本约定书条款的存在、效力终止，或无效之后果），双方选择以下第 1 种解决方式：</w:t>
      </w:r>
    </w:p>
    <w:p w14:paraId="3082FFF2">
      <w:pPr>
        <w:spacing w:line="360" w:lineRule="auto"/>
        <w:ind w:firstLine="480" w:firstLineChars="200"/>
        <w:rPr>
          <w:rFonts w:hint="eastAsia" w:ascii="宋体" w:hAnsi="宋体"/>
          <w:color w:val="auto"/>
          <w:sz w:val="24"/>
          <w:szCs w:val="21"/>
          <w:highlight w:val="none"/>
        </w:rPr>
      </w:pPr>
      <w:r>
        <w:rPr>
          <w:rFonts w:ascii="宋体" w:hAnsi="宋体"/>
          <w:color w:val="auto"/>
          <w:sz w:val="24"/>
          <w:szCs w:val="21"/>
          <w:highlight w:val="none"/>
        </w:rPr>
        <w:fldChar w:fldCharType="begin"/>
      </w:r>
      <w:r>
        <w:rPr>
          <w:rFonts w:ascii="宋体" w:hAnsi="宋体"/>
          <w:color w:val="auto"/>
          <w:sz w:val="24"/>
          <w:szCs w:val="21"/>
          <w:highlight w:val="none"/>
        </w:rPr>
        <w:instrText xml:space="preserve"> </w:instrText>
      </w:r>
      <w:r>
        <w:rPr>
          <w:rFonts w:hint="eastAsia" w:ascii="宋体" w:hAnsi="宋体"/>
          <w:color w:val="auto"/>
          <w:sz w:val="24"/>
          <w:szCs w:val="21"/>
          <w:highlight w:val="none"/>
        </w:rPr>
        <w:instrText xml:space="preserve">= 1 \* GB3</w:instrText>
      </w:r>
      <w:r>
        <w:rPr>
          <w:rFonts w:ascii="宋体" w:hAnsi="宋体"/>
          <w:color w:val="auto"/>
          <w:sz w:val="24"/>
          <w:szCs w:val="21"/>
          <w:highlight w:val="none"/>
        </w:rPr>
        <w:instrText xml:space="preserve"> </w:instrText>
      </w:r>
      <w:r>
        <w:rPr>
          <w:rFonts w:ascii="宋体" w:hAnsi="宋体"/>
          <w:color w:val="auto"/>
          <w:sz w:val="24"/>
          <w:szCs w:val="21"/>
          <w:highlight w:val="none"/>
        </w:rPr>
        <w:fldChar w:fldCharType="separate"/>
      </w:r>
      <w:r>
        <w:rPr>
          <w:rFonts w:hint="eastAsia" w:ascii="宋体" w:hAnsi="宋体"/>
          <w:color w:val="auto"/>
          <w:sz w:val="24"/>
          <w:szCs w:val="21"/>
          <w:highlight w:val="none"/>
        </w:rPr>
        <w:t>①</w:t>
      </w:r>
      <w:r>
        <w:rPr>
          <w:rFonts w:ascii="宋体" w:hAnsi="宋体"/>
          <w:color w:val="auto"/>
          <w:sz w:val="24"/>
          <w:szCs w:val="21"/>
          <w:highlight w:val="none"/>
        </w:rPr>
        <w:fldChar w:fldCharType="end"/>
      </w:r>
      <w:r>
        <w:rPr>
          <w:rFonts w:hint="eastAsia" w:ascii="宋体" w:hAnsi="宋体"/>
          <w:color w:val="auto"/>
          <w:sz w:val="24"/>
          <w:szCs w:val="21"/>
          <w:highlight w:val="none"/>
        </w:rPr>
        <w:t>向甲方所在地有关辖权的人民法院提起诉讼；</w:t>
      </w:r>
    </w:p>
    <w:p w14:paraId="45984BA5">
      <w:pPr>
        <w:spacing w:line="360" w:lineRule="auto"/>
        <w:ind w:firstLine="480" w:firstLineChars="200"/>
        <w:rPr>
          <w:rFonts w:hint="eastAsia" w:ascii="宋体" w:hAnsi="宋体"/>
          <w:color w:val="auto"/>
          <w:sz w:val="24"/>
          <w:szCs w:val="21"/>
          <w:highlight w:val="none"/>
        </w:rPr>
      </w:pPr>
      <w:r>
        <w:rPr>
          <w:rFonts w:ascii="宋体" w:hAnsi="宋体"/>
          <w:color w:val="auto"/>
          <w:sz w:val="24"/>
          <w:szCs w:val="21"/>
          <w:highlight w:val="none"/>
        </w:rPr>
        <w:fldChar w:fldCharType="begin"/>
      </w:r>
      <w:r>
        <w:rPr>
          <w:rFonts w:ascii="宋体" w:hAnsi="宋体"/>
          <w:color w:val="auto"/>
          <w:sz w:val="24"/>
          <w:szCs w:val="21"/>
          <w:highlight w:val="none"/>
        </w:rPr>
        <w:instrText xml:space="preserve"> </w:instrText>
      </w:r>
      <w:r>
        <w:rPr>
          <w:rFonts w:hint="eastAsia" w:ascii="宋体" w:hAnsi="宋体"/>
          <w:color w:val="auto"/>
          <w:sz w:val="24"/>
          <w:szCs w:val="21"/>
          <w:highlight w:val="none"/>
        </w:rPr>
        <w:instrText xml:space="preserve">= 2 \* GB3</w:instrText>
      </w:r>
      <w:r>
        <w:rPr>
          <w:rFonts w:ascii="宋体" w:hAnsi="宋体"/>
          <w:color w:val="auto"/>
          <w:sz w:val="24"/>
          <w:szCs w:val="21"/>
          <w:highlight w:val="none"/>
        </w:rPr>
        <w:instrText xml:space="preserve"> </w:instrText>
      </w:r>
      <w:r>
        <w:rPr>
          <w:rFonts w:ascii="宋体" w:hAnsi="宋体"/>
          <w:color w:val="auto"/>
          <w:sz w:val="24"/>
          <w:szCs w:val="21"/>
          <w:highlight w:val="none"/>
        </w:rPr>
        <w:fldChar w:fldCharType="separate"/>
      </w:r>
      <w:r>
        <w:rPr>
          <w:rFonts w:hint="eastAsia" w:ascii="宋体" w:hAnsi="宋体"/>
          <w:color w:val="auto"/>
          <w:sz w:val="24"/>
          <w:szCs w:val="21"/>
          <w:highlight w:val="none"/>
        </w:rPr>
        <w:t>②</w:t>
      </w:r>
      <w:r>
        <w:rPr>
          <w:rFonts w:ascii="宋体" w:hAnsi="宋体"/>
          <w:color w:val="auto"/>
          <w:sz w:val="24"/>
          <w:szCs w:val="21"/>
          <w:highlight w:val="none"/>
        </w:rPr>
        <w:fldChar w:fldCharType="end"/>
      </w:r>
      <w:r>
        <w:rPr>
          <w:rFonts w:hint="eastAsia" w:ascii="宋体" w:hAnsi="宋体"/>
          <w:color w:val="auto"/>
          <w:sz w:val="24"/>
          <w:szCs w:val="21"/>
          <w:highlight w:val="none"/>
        </w:rPr>
        <w:t>提交昆明仲裁委员会。</w:t>
      </w:r>
    </w:p>
    <w:p w14:paraId="44AD6E39">
      <w:pPr>
        <w:spacing w:line="360" w:lineRule="auto"/>
        <w:ind w:firstLine="482" w:firstLineChars="200"/>
        <w:rPr>
          <w:rFonts w:hint="eastAsia" w:ascii="宋体" w:hAnsi="宋体"/>
          <w:b/>
          <w:color w:val="auto"/>
          <w:sz w:val="24"/>
          <w:szCs w:val="21"/>
          <w:highlight w:val="none"/>
        </w:rPr>
      </w:pPr>
      <w:r>
        <w:rPr>
          <w:rFonts w:hint="eastAsia" w:ascii="宋体" w:hAnsi="宋体"/>
          <w:b/>
          <w:color w:val="auto"/>
          <w:sz w:val="24"/>
          <w:szCs w:val="21"/>
          <w:highlight w:val="none"/>
        </w:rPr>
        <w:t>十一、双方对其他有关事项的约定</w:t>
      </w:r>
    </w:p>
    <w:p w14:paraId="013D5B80">
      <w:pPr>
        <w:spacing w:line="360" w:lineRule="auto"/>
        <w:ind w:firstLine="480" w:firstLineChars="200"/>
        <w:rPr>
          <w:rFonts w:hint="eastAsia"/>
          <w:color w:val="auto"/>
          <w:sz w:val="28"/>
          <w:szCs w:val="28"/>
          <w:highlight w:val="none"/>
        </w:rPr>
      </w:pPr>
      <w:r>
        <w:rPr>
          <w:rFonts w:hint="eastAsia" w:ascii="宋体" w:hAnsi="宋体"/>
          <w:color w:val="auto"/>
          <w:sz w:val="24"/>
          <w:szCs w:val="21"/>
          <w:highlight w:val="none"/>
        </w:rPr>
        <w:t>本约定书一式</w:t>
      </w:r>
      <w:r>
        <w:rPr>
          <w:rFonts w:hint="eastAsia" w:ascii="宋体" w:hAnsi="宋体"/>
          <w:color w:val="auto"/>
          <w:sz w:val="24"/>
          <w:szCs w:val="21"/>
          <w:highlight w:val="none"/>
          <w:u w:val="single"/>
        </w:rPr>
        <w:t xml:space="preserve">  肆  </w:t>
      </w:r>
      <w:r>
        <w:rPr>
          <w:rFonts w:hint="eastAsia" w:ascii="宋体" w:hAnsi="宋体"/>
          <w:color w:val="auto"/>
          <w:sz w:val="24"/>
          <w:szCs w:val="21"/>
          <w:highlight w:val="none"/>
        </w:rPr>
        <w:t>份，甲、乙方各执</w:t>
      </w:r>
      <w:r>
        <w:rPr>
          <w:rFonts w:hint="eastAsia" w:ascii="宋体" w:hAnsi="宋体"/>
          <w:color w:val="auto"/>
          <w:sz w:val="24"/>
          <w:szCs w:val="21"/>
          <w:highlight w:val="none"/>
          <w:u w:val="single"/>
        </w:rPr>
        <w:t xml:space="preserve">  贰  </w:t>
      </w:r>
      <w:r>
        <w:rPr>
          <w:rFonts w:hint="eastAsia" w:ascii="宋体" w:hAnsi="宋体"/>
          <w:color w:val="auto"/>
          <w:sz w:val="24"/>
          <w:szCs w:val="21"/>
          <w:highlight w:val="none"/>
        </w:rPr>
        <w:t>份，具有同等法律效力</w:t>
      </w:r>
    </w:p>
    <w:p w14:paraId="011F3EF4">
      <w:pPr>
        <w:keepNext w:val="0"/>
        <w:keepLines w:val="0"/>
        <w:pageBreakBefore w:val="0"/>
        <w:kinsoku/>
        <w:wordWrap/>
        <w:overflowPunct/>
        <w:topLinePunct w:val="0"/>
        <w:autoSpaceDE/>
        <w:autoSpaceDN/>
        <w:bidi w:val="0"/>
        <w:spacing w:line="360" w:lineRule="auto"/>
        <w:ind w:right="0"/>
        <w:textAlignment w:val="auto"/>
        <w:rPr>
          <w:rFonts w:hint="eastAsia" w:ascii="宋体" w:hAnsi="宋体"/>
          <w:color w:val="auto"/>
          <w:sz w:val="22"/>
          <w:szCs w:val="22"/>
          <w:highlight w:val="none"/>
        </w:rPr>
      </w:pPr>
    </w:p>
    <w:p w14:paraId="4293048B">
      <w:pPr>
        <w:keepNext w:val="0"/>
        <w:keepLines w:val="0"/>
        <w:pageBreakBefore w:val="0"/>
        <w:kinsoku/>
        <w:wordWrap/>
        <w:overflowPunct/>
        <w:topLinePunct w:val="0"/>
        <w:autoSpaceDE/>
        <w:autoSpaceDN/>
        <w:bidi w:val="0"/>
        <w:spacing w:line="360" w:lineRule="auto"/>
        <w:ind w:right="0"/>
        <w:textAlignment w:val="auto"/>
        <w:rPr>
          <w:rFonts w:hint="eastAsia" w:ascii="宋体" w:hAnsi="宋体"/>
          <w:color w:val="auto"/>
          <w:sz w:val="22"/>
          <w:szCs w:val="22"/>
          <w:highlight w:val="none"/>
          <w:u w:val="single"/>
        </w:rPr>
      </w:pPr>
      <w:r>
        <w:rPr>
          <w:rFonts w:hint="eastAsia" w:ascii="宋体" w:hAnsi="宋体"/>
          <w:color w:val="auto"/>
          <w:sz w:val="22"/>
          <w:szCs w:val="22"/>
          <w:highlight w:val="none"/>
        </w:rPr>
        <w:t xml:space="preserve">委托人（甲方）：             </w:t>
      </w:r>
      <w:r>
        <w:rPr>
          <w:rFonts w:ascii="宋体" w:hAnsi="宋体"/>
          <w:color w:val="auto"/>
          <w:sz w:val="22"/>
          <w:szCs w:val="22"/>
          <w:highlight w:val="none"/>
        </w:rPr>
        <w:t xml:space="preserve"> </w:t>
      </w:r>
    </w:p>
    <w:p w14:paraId="584E2458">
      <w:pPr>
        <w:keepNext w:val="0"/>
        <w:keepLines w:val="0"/>
        <w:pageBreakBefore w:val="0"/>
        <w:kinsoku/>
        <w:wordWrap/>
        <w:overflowPunct/>
        <w:topLinePunct w:val="0"/>
        <w:autoSpaceDE/>
        <w:autoSpaceDN/>
        <w:bidi w:val="0"/>
        <w:spacing w:line="360" w:lineRule="auto"/>
        <w:ind w:right="0"/>
        <w:textAlignment w:val="auto"/>
        <w:rPr>
          <w:rFonts w:hint="eastAsia" w:ascii="宋体" w:hAnsi="宋体"/>
          <w:color w:val="auto"/>
          <w:sz w:val="22"/>
          <w:szCs w:val="22"/>
          <w:highlight w:val="none"/>
        </w:rPr>
      </w:pPr>
      <w:r>
        <w:rPr>
          <w:rFonts w:hint="eastAsia" w:ascii="宋体" w:hAnsi="宋体"/>
          <w:color w:val="auto"/>
          <w:sz w:val="22"/>
          <w:szCs w:val="22"/>
          <w:highlight w:val="none"/>
        </w:rPr>
        <w:t>法定代表人或委托代理人（签字）：</w:t>
      </w:r>
      <w:r>
        <w:rPr>
          <w:rFonts w:hint="eastAsia" w:ascii="宋体" w:hAnsi="宋体"/>
          <w:color w:val="auto"/>
          <w:sz w:val="22"/>
          <w:szCs w:val="22"/>
          <w:highlight w:val="none"/>
          <w:u w:val="single"/>
        </w:rPr>
        <w:t xml:space="preserve">        </w:t>
      </w:r>
    </w:p>
    <w:p w14:paraId="6427A243">
      <w:pPr>
        <w:keepNext w:val="0"/>
        <w:keepLines w:val="0"/>
        <w:pageBreakBefore w:val="0"/>
        <w:kinsoku/>
        <w:wordWrap/>
        <w:overflowPunct/>
        <w:topLinePunct w:val="0"/>
        <w:autoSpaceDE/>
        <w:autoSpaceDN/>
        <w:bidi w:val="0"/>
        <w:spacing w:line="360" w:lineRule="auto"/>
        <w:ind w:right="0"/>
        <w:textAlignment w:val="auto"/>
        <w:rPr>
          <w:rFonts w:hint="eastAsia" w:ascii="宋体" w:hAnsi="宋体"/>
          <w:color w:val="auto"/>
          <w:sz w:val="22"/>
          <w:szCs w:val="22"/>
          <w:highlight w:val="none"/>
        </w:rPr>
      </w:pPr>
      <w:r>
        <w:rPr>
          <w:rFonts w:hint="eastAsia" w:ascii="宋体" w:hAnsi="宋体"/>
          <w:color w:val="auto"/>
          <w:sz w:val="22"/>
          <w:szCs w:val="22"/>
          <w:highlight w:val="none"/>
        </w:rPr>
        <w:t>地  址：</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p>
    <w:p w14:paraId="7789C541">
      <w:pPr>
        <w:keepNext w:val="0"/>
        <w:keepLines w:val="0"/>
        <w:pageBreakBefore w:val="0"/>
        <w:kinsoku/>
        <w:wordWrap/>
        <w:overflowPunct/>
        <w:topLinePunct w:val="0"/>
        <w:autoSpaceDE/>
        <w:autoSpaceDN/>
        <w:bidi w:val="0"/>
        <w:spacing w:line="360" w:lineRule="auto"/>
        <w:ind w:right="0"/>
        <w:textAlignment w:val="auto"/>
        <w:rPr>
          <w:rFonts w:hint="eastAsia" w:ascii="宋体" w:hAnsi="宋体"/>
          <w:color w:val="auto"/>
          <w:sz w:val="22"/>
          <w:szCs w:val="22"/>
          <w:highlight w:val="none"/>
        </w:rPr>
      </w:pPr>
      <w:r>
        <w:rPr>
          <w:rFonts w:hint="eastAsia" w:ascii="宋体" w:hAnsi="宋体"/>
          <w:color w:val="auto"/>
          <w:sz w:val="22"/>
          <w:szCs w:val="22"/>
          <w:highlight w:val="none"/>
        </w:rPr>
        <w:t>电话（联系方式）：</w:t>
      </w:r>
    </w:p>
    <w:p w14:paraId="67CADD4A">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440" w:firstLineChars="200"/>
        <w:textAlignment w:val="auto"/>
        <w:rPr>
          <w:rFonts w:ascii="宋体" w:hAnsi="宋体" w:cs="Times New Roman"/>
          <w:color w:val="auto"/>
          <w:kern w:val="2"/>
          <w:sz w:val="22"/>
          <w:szCs w:val="22"/>
          <w:highlight w:val="none"/>
        </w:rPr>
      </w:pPr>
      <w:r>
        <w:rPr>
          <w:rFonts w:hint="eastAsia" w:ascii="宋体" w:hAnsi="宋体"/>
          <w:color w:val="auto"/>
          <w:sz w:val="22"/>
          <w:szCs w:val="22"/>
          <w:highlight w:val="none"/>
        </w:rPr>
        <w:t>年  月  日</w:t>
      </w:r>
    </w:p>
    <w:p w14:paraId="3054DED6">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default" w:ascii="宋体" w:hAnsi="宋体" w:eastAsia="宋体"/>
          <w:color w:val="auto"/>
          <w:sz w:val="22"/>
          <w:szCs w:val="22"/>
          <w:highlight w:val="none"/>
          <w:u w:val="single"/>
          <w:lang w:val="en-US" w:eastAsia="zh-CN"/>
        </w:rPr>
      </w:pPr>
      <w:r>
        <w:rPr>
          <w:rFonts w:hint="eastAsia" w:ascii="宋体" w:hAnsi="宋体"/>
          <w:color w:val="auto"/>
          <w:sz w:val="22"/>
          <w:szCs w:val="22"/>
          <w:highlight w:val="none"/>
          <w:u w:val="none"/>
        </w:rPr>
        <w:t>受托人（乙方）：</w:t>
      </w:r>
      <w:r>
        <w:rPr>
          <w:rFonts w:hint="eastAsia" w:ascii="宋体" w:hAnsi="宋体"/>
          <w:color w:val="auto"/>
          <w:sz w:val="22"/>
          <w:szCs w:val="22"/>
          <w:highlight w:val="none"/>
          <w:u w:val="single"/>
          <w:lang w:val="en-US" w:eastAsia="zh-CN"/>
        </w:rPr>
        <w:t xml:space="preserve">                                </w:t>
      </w:r>
    </w:p>
    <w:p w14:paraId="451C99FF">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textAlignment w:val="auto"/>
        <w:rPr>
          <w:rFonts w:ascii="宋体" w:hAnsi="宋体"/>
          <w:color w:val="auto"/>
          <w:sz w:val="22"/>
          <w:szCs w:val="22"/>
          <w:highlight w:val="none"/>
          <w:u w:val="single"/>
        </w:rPr>
      </w:pPr>
      <w:r>
        <w:rPr>
          <w:rFonts w:hint="eastAsia" w:ascii="宋体" w:hAnsi="宋体"/>
          <w:color w:val="auto"/>
          <w:sz w:val="22"/>
          <w:szCs w:val="22"/>
          <w:highlight w:val="none"/>
        </w:rPr>
        <w:t>法定代表人（合伙人）或委托代理人（签字）：</w:t>
      </w:r>
      <w:r>
        <w:rPr>
          <w:rFonts w:hint="eastAsia" w:ascii="宋体" w:hAnsi="宋体"/>
          <w:color w:val="auto"/>
          <w:sz w:val="22"/>
          <w:szCs w:val="22"/>
          <w:highlight w:val="none"/>
          <w:u w:val="single"/>
        </w:rPr>
        <w:t xml:space="preserve">              </w:t>
      </w:r>
    </w:p>
    <w:p w14:paraId="2D767EE9">
      <w:pPr>
        <w:keepNext w:val="0"/>
        <w:keepLines w:val="0"/>
        <w:pageBreakBefore w:val="0"/>
        <w:kinsoku/>
        <w:wordWrap/>
        <w:overflowPunct/>
        <w:topLinePunct w:val="0"/>
        <w:autoSpaceDE/>
        <w:autoSpaceDN/>
        <w:bidi w:val="0"/>
        <w:spacing w:line="360" w:lineRule="auto"/>
        <w:ind w:right="0"/>
        <w:textAlignment w:val="auto"/>
        <w:rPr>
          <w:rFonts w:hint="eastAsia" w:ascii="宋体" w:hAnsi="宋体"/>
          <w:color w:val="auto"/>
          <w:sz w:val="22"/>
          <w:szCs w:val="22"/>
          <w:highlight w:val="none"/>
        </w:rPr>
      </w:pPr>
      <w:r>
        <w:rPr>
          <w:rFonts w:hint="eastAsia" w:ascii="宋体" w:hAnsi="宋体"/>
          <w:color w:val="auto"/>
          <w:sz w:val="22"/>
          <w:szCs w:val="22"/>
          <w:highlight w:val="none"/>
        </w:rPr>
        <w:t>地  址：</w:t>
      </w:r>
    </w:p>
    <w:p w14:paraId="47D7F5D8">
      <w:pPr>
        <w:keepNext w:val="0"/>
        <w:keepLines w:val="0"/>
        <w:pageBreakBefore w:val="0"/>
        <w:kinsoku/>
        <w:wordWrap/>
        <w:overflowPunct/>
        <w:topLinePunct w:val="0"/>
        <w:autoSpaceDE/>
        <w:autoSpaceDN/>
        <w:bidi w:val="0"/>
        <w:spacing w:line="360" w:lineRule="auto"/>
        <w:ind w:right="0"/>
        <w:textAlignment w:val="auto"/>
        <w:rPr>
          <w:rFonts w:hint="eastAsia" w:ascii="宋体" w:hAnsi="宋体"/>
          <w:color w:val="auto"/>
          <w:sz w:val="22"/>
          <w:szCs w:val="22"/>
          <w:highlight w:val="none"/>
        </w:rPr>
      </w:pPr>
      <w:r>
        <w:rPr>
          <w:rFonts w:hint="eastAsia" w:ascii="宋体" w:hAnsi="宋体"/>
          <w:color w:val="auto"/>
          <w:sz w:val="22"/>
          <w:szCs w:val="22"/>
          <w:highlight w:val="none"/>
        </w:rPr>
        <w:t>电  话：</w:t>
      </w:r>
    </w:p>
    <w:p w14:paraId="37E62996">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textAlignment w:val="auto"/>
        <w:rPr>
          <w:rFonts w:ascii="宋体" w:hAnsi="宋体"/>
          <w:color w:val="auto"/>
          <w:sz w:val="22"/>
          <w:szCs w:val="18"/>
          <w:highlight w:val="none"/>
        </w:rPr>
      </w:pPr>
      <w:r>
        <w:rPr>
          <w:rFonts w:hint="eastAsia" w:ascii="宋体" w:hAnsi="宋体" w:cs="Times New Roman"/>
          <w:color w:val="auto"/>
          <w:kern w:val="2"/>
          <w:sz w:val="22"/>
          <w:szCs w:val="22"/>
          <w:highlight w:val="none"/>
        </w:rPr>
        <w:t xml:space="preserve"> </w:t>
      </w:r>
      <w:r>
        <w:rPr>
          <w:rFonts w:ascii="宋体" w:hAnsi="宋体" w:cs="Times New Roman"/>
          <w:color w:val="auto"/>
          <w:kern w:val="2"/>
          <w:sz w:val="22"/>
          <w:szCs w:val="22"/>
          <w:highlight w:val="none"/>
        </w:rPr>
        <w:t xml:space="preserve">     </w:t>
      </w:r>
      <w:r>
        <w:rPr>
          <w:rFonts w:hint="eastAsia" w:ascii="宋体" w:hAnsi="宋体" w:cs="Times New Roman"/>
          <w:color w:val="auto"/>
          <w:kern w:val="2"/>
          <w:sz w:val="22"/>
          <w:szCs w:val="22"/>
          <w:highlight w:val="none"/>
        </w:rPr>
        <w:t>年  月  日</w:t>
      </w:r>
    </w:p>
    <w:p w14:paraId="297E0206">
      <w:pPr>
        <w:spacing w:line="52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kern w:val="44"/>
          <w:sz w:val="36"/>
          <w:szCs w:val="36"/>
          <w:highlight w:val="none"/>
        </w:rPr>
        <w:br w:type="page"/>
      </w:r>
      <w:bookmarkStart w:id="154" w:name="_Toc3783"/>
      <w:r>
        <w:rPr>
          <w:rFonts w:hint="eastAsia" w:ascii="宋体" w:hAnsi="宋体" w:eastAsia="宋体" w:cs="宋体"/>
          <w:color w:val="auto"/>
          <w:sz w:val="36"/>
          <w:szCs w:val="36"/>
          <w:highlight w:val="none"/>
        </w:rPr>
        <w:t>第六章 响应文件格式</w:t>
      </w:r>
      <w:bookmarkEnd w:id="147"/>
      <w:bookmarkEnd w:id="154"/>
    </w:p>
    <w:p w14:paraId="5309AAD6">
      <w:pPr>
        <w:spacing w:line="520" w:lineRule="exact"/>
        <w:jc w:val="center"/>
        <w:rPr>
          <w:rFonts w:hint="eastAsia" w:ascii="宋体" w:hAnsi="宋体" w:eastAsia="宋体" w:cs="宋体"/>
          <w:b/>
          <w:color w:val="auto"/>
          <w:sz w:val="52"/>
          <w:szCs w:val="52"/>
          <w:highlight w:val="none"/>
          <w:u w:val="single"/>
        </w:rPr>
      </w:pPr>
      <w:bookmarkStart w:id="155" w:name="_Toc21201"/>
      <w:bookmarkStart w:id="156" w:name="_Toc16446"/>
    </w:p>
    <w:p w14:paraId="438EA901">
      <w:pPr>
        <w:spacing w:line="520" w:lineRule="exact"/>
        <w:jc w:val="center"/>
        <w:rPr>
          <w:rFonts w:hint="eastAsia" w:ascii="宋体" w:hAnsi="宋体" w:eastAsia="宋体" w:cs="宋体"/>
          <w:b/>
          <w:color w:val="auto"/>
          <w:sz w:val="52"/>
          <w:szCs w:val="52"/>
          <w:highlight w:val="none"/>
          <w:u w:val="single"/>
        </w:rPr>
      </w:pPr>
    </w:p>
    <w:p w14:paraId="1573344D">
      <w:pPr>
        <w:spacing w:line="520" w:lineRule="exact"/>
        <w:jc w:val="center"/>
        <w:rPr>
          <w:rFonts w:hint="eastAsia" w:ascii="宋体" w:hAnsi="宋体" w:eastAsia="宋体" w:cs="宋体"/>
          <w:b/>
          <w:color w:val="auto"/>
          <w:sz w:val="52"/>
          <w:szCs w:val="52"/>
          <w:highlight w:val="none"/>
          <w:u w:val="single"/>
        </w:rPr>
      </w:pPr>
    </w:p>
    <w:bookmarkEnd w:id="155"/>
    <w:bookmarkEnd w:id="156"/>
    <w:p w14:paraId="61F69A70">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lang w:eastAsia="zh-CN"/>
        </w:rPr>
        <w:t xml:space="preserve"> </w:t>
      </w:r>
      <w:r>
        <w:rPr>
          <w:rFonts w:hint="eastAsia" w:ascii="宋体" w:hAnsi="宋体" w:cs="宋体"/>
          <w:b/>
          <w:color w:val="auto"/>
          <w:sz w:val="52"/>
          <w:szCs w:val="52"/>
          <w:highlight w:val="none"/>
          <w:lang w:eastAsia="zh-CN"/>
        </w:rPr>
        <w:t>昆明鑫安道路设施维护有限公司清算报告服务项目（四次）</w:t>
      </w:r>
    </w:p>
    <w:p w14:paraId="2457DEC4">
      <w:pPr>
        <w:spacing w:line="520" w:lineRule="exact"/>
        <w:ind w:firstLine="437"/>
        <w:rPr>
          <w:rFonts w:hint="eastAsia" w:ascii="宋体" w:hAnsi="宋体" w:eastAsia="宋体" w:cs="宋体"/>
          <w:color w:val="auto"/>
          <w:szCs w:val="21"/>
          <w:highlight w:val="none"/>
        </w:rPr>
      </w:pPr>
    </w:p>
    <w:p w14:paraId="6BC63653">
      <w:pPr>
        <w:spacing w:line="520" w:lineRule="exact"/>
        <w:rPr>
          <w:rFonts w:hint="eastAsia" w:ascii="宋体" w:hAnsi="宋体" w:eastAsia="宋体" w:cs="宋体"/>
          <w:color w:val="auto"/>
          <w:szCs w:val="21"/>
          <w:highlight w:val="none"/>
        </w:rPr>
      </w:pPr>
    </w:p>
    <w:p w14:paraId="2E986BED">
      <w:pPr>
        <w:spacing w:line="520" w:lineRule="exact"/>
        <w:rPr>
          <w:rFonts w:hint="eastAsia" w:ascii="宋体" w:hAnsi="宋体" w:eastAsia="宋体" w:cs="宋体"/>
          <w:color w:val="auto"/>
          <w:szCs w:val="21"/>
          <w:highlight w:val="none"/>
        </w:rPr>
      </w:pPr>
    </w:p>
    <w:p w14:paraId="533022FE">
      <w:pPr>
        <w:pStyle w:val="24"/>
        <w:rPr>
          <w:rFonts w:hint="eastAsia" w:ascii="宋体" w:hAnsi="宋体" w:eastAsia="宋体" w:cs="宋体"/>
          <w:color w:val="auto"/>
          <w:highlight w:val="none"/>
        </w:rPr>
      </w:pPr>
    </w:p>
    <w:p w14:paraId="266F2B71">
      <w:pPr>
        <w:spacing w:line="520" w:lineRule="exact"/>
        <w:rPr>
          <w:rFonts w:hint="eastAsia" w:ascii="宋体" w:hAnsi="宋体" w:eastAsia="宋体" w:cs="宋体"/>
          <w:color w:val="auto"/>
          <w:szCs w:val="21"/>
          <w:highlight w:val="none"/>
        </w:rPr>
      </w:pPr>
    </w:p>
    <w:p w14:paraId="244CC41D">
      <w:pPr>
        <w:spacing w:line="1000" w:lineRule="exact"/>
        <w:jc w:val="center"/>
        <w:rPr>
          <w:rFonts w:hint="eastAsia" w:ascii="宋体" w:hAnsi="宋体" w:eastAsia="宋体" w:cs="宋体"/>
          <w:b/>
          <w:color w:val="auto"/>
          <w:sz w:val="72"/>
          <w:szCs w:val="72"/>
          <w:highlight w:val="none"/>
        </w:rPr>
      </w:pPr>
      <w:bookmarkStart w:id="157" w:name="_Toc6929"/>
      <w:bookmarkStart w:id="158" w:name="_Toc4497"/>
      <w:bookmarkStart w:id="159" w:name="_Toc30718"/>
      <w:bookmarkStart w:id="160" w:name="_Toc31440"/>
      <w:r>
        <w:rPr>
          <w:rFonts w:hint="eastAsia" w:ascii="宋体" w:hAnsi="宋体" w:eastAsia="宋体" w:cs="宋体"/>
          <w:b/>
          <w:color w:val="auto"/>
          <w:sz w:val="72"/>
          <w:szCs w:val="72"/>
          <w:highlight w:val="none"/>
        </w:rPr>
        <w:t>响应文件</w:t>
      </w:r>
      <w:bookmarkEnd w:id="157"/>
      <w:bookmarkEnd w:id="158"/>
      <w:bookmarkEnd w:id="159"/>
      <w:bookmarkEnd w:id="160"/>
    </w:p>
    <w:p w14:paraId="4A54B3B2">
      <w:pPr>
        <w:spacing w:line="520" w:lineRule="exact"/>
        <w:rPr>
          <w:rFonts w:hint="eastAsia" w:ascii="宋体" w:hAnsi="宋体" w:eastAsia="宋体" w:cs="宋体"/>
          <w:color w:val="auto"/>
          <w:szCs w:val="21"/>
          <w:highlight w:val="none"/>
        </w:rPr>
      </w:pPr>
    </w:p>
    <w:p w14:paraId="45776A23">
      <w:pPr>
        <w:spacing w:line="520" w:lineRule="exact"/>
        <w:ind w:firstLine="437"/>
        <w:rPr>
          <w:rFonts w:hint="eastAsia" w:ascii="宋体" w:hAnsi="宋体" w:eastAsia="宋体" w:cs="宋体"/>
          <w:color w:val="auto"/>
          <w:szCs w:val="21"/>
          <w:highlight w:val="none"/>
        </w:rPr>
      </w:pPr>
    </w:p>
    <w:p w14:paraId="5D24B0BA">
      <w:pPr>
        <w:spacing w:line="520" w:lineRule="exact"/>
        <w:ind w:firstLine="437"/>
        <w:rPr>
          <w:rFonts w:hint="eastAsia" w:ascii="宋体" w:hAnsi="宋体" w:eastAsia="宋体" w:cs="宋体"/>
          <w:color w:val="auto"/>
          <w:szCs w:val="21"/>
          <w:highlight w:val="none"/>
        </w:rPr>
      </w:pPr>
    </w:p>
    <w:p w14:paraId="1E5D9AE5">
      <w:pPr>
        <w:spacing w:line="520" w:lineRule="exact"/>
        <w:ind w:firstLine="437"/>
        <w:rPr>
          <w:rFonts w:hint="eastAsia" w:ascii="宋体" w:hAnsi="宋体" w:eastAsia="宋体" w:cs="宋体"/>
          <w:color w:val="auto"/>
          <w:szCs w:val="21"/>
          <w:highlight w:val="none"/>
        </w:rPr>
      </w:pPr>
    </w:p>
    <w:p w14:paraId="6632E21F">
      <w:pPr>
        <w:pStyle w:val="24"/>
        <w:rPr>
          <w:rFonts w:hint="eastAsia" w:ascii="宋体" w:hAnsi="宋体" w:eastAsia="宋体" w:cs="宋体"/>
          <w:color w:val="auto"/>
          <w:szCs w:val="21"/>
          <w:highlight w:val="none"/>
        </w:rPr>
      </w:pPr>
    </w:p>
    <w:p w14:paraId="14C374DB">
      <w:pPr>
        <w:pStyle w:val="24"/>
        <w:rPr>
          <w:rFonts w:hint="eastAsia" w:ascii="宋体" w:hAnsi="宋体" w:eastAsia="宋体" w:cs="宋体"/>
          <w:color w:val="auto"/>
          <w:szCs w:val="21"/>
          <w:highlight w:val="none"/>
        </w:rPr>
      </w:pPr>
    </w:p>
    <w:p w14:paraId="4E379D77">
      <w:pPr>
        <w:pStyle w:val="24"/>
        <w:rPr>
          <w:rFonts w:hint="eastAsia" w:ascii="宋体" w:hAnsi="宋体" w:eastAsia="宋体" w:cs="宋体"/>
          <w:color w:val="auto"/>
          <w:szCs w:val="21"/>
          <w:highlight w:val="none"/>
        </w:rPr>
      </w:pPr>
    </w:p>
    <w:p w14:paraId="1C3E622C">
      <w:pPr>
        <w:pStyle w:val="24"/>
        <w:rPr>
          <w:rFonts w:hint="eastAsia" w:ascii="宋体" w:hAnsi="宋体" w:eastAsia="宋体" w:cs="宋体"/>
          <w:color w:val="auto"/>
          <w:szCs w:val="21"/>
          <w:highlight w:val="none"/>
        </w:rPr>
      </w:pPr>
    </w:p>
    <w:p w14:paraId="79D480EF">
      <w:pPr>
        <w:spacing w:line="520" w:lineRule="exact"/>
        <w:rPr>
          <w:rFonts w:hint="eastAsia" w:ascii="宋体" w:hAnsi="宋体" w:eastAsia="宋体" w:cs="宋体"/>
          <w:color w:val="auto"/>
          <w:szCs w:val="21"/>
          <w:highlight w:val="none"/>
        </w:rPr>
      </w:pPr>
    </w:p>
    <w:p w14:paraId="573DAD71">
      <w:pPr>
        <w:spacing w:line="520" w:lineRule="exact"/>
        <w:ind w:firstLine="437"/>
        <w:rPr>
          <w:rFonts w:hint="eastAsia" w:ascii="宋体" w:hAnsi="宋体" w:eastAsia="宋体" w:cs="宋体"/>
          <w:color w:val="auto"/>
          <w:szCs w:val="21"/>
          <w:highlight w:val="none"/>
        </w:rPr>
      </w:pPr>
    </w:p>
    <w:p w14:paraId="45E4D148">
      <w:pPr>
        <w:spacing w:line="520" w:lineRule="exact"/>
        <w:ind w:firstLine="437"/>
        <w:rPr>
          <w:rFonts w:hint="eastAsia" w:ascii="宋体" w:hAnsi="宋体" w:eastAsia="宋体" w:cs="宋体"/>
          <w:color w:val="auto"/>
          <w:sz w:val="30"/>
          <w:szCs w:val="30"/>
          <w:highlight w:val="none"/>
        </w:rPr>
      </w:pPr>
      <w:bookmarkStart w:id="161" w:name="_Toc29906"/>
      <w:bookmarkStart w:id="162" w:name="_Toc1057"/>
      <w:bookmarkStart w:id="163" w:name="_Toc120"/>
      <w:bookmarkStart w:id="164" w:name="_Toc30206"/>
      <w:r>
        <w:rPr>
          <w:rFonts w:hint="eastAsia" w:ascii="宋体" w:hAnsi="宋体" w:eastAsia="宋体" w:cs="宋体"/>
          <w:color w:val="auto"/>
          <w:sz w:val="30"/>
          <w:szCs w:val="30"/>
          <w:highlight w:val="none"/>
        </w:rPr>
        <w:t>申请人（盖章）:</w:t>
      </w:r>
      <w:bookmarkEnd w:id="161"/>
      <w:bookmarkEnd w:id="162"/>
      <w:bookmarkEnd w:id="163"/>
      <w:bookmarkEnd w:id="164"/>
      <w:r>
        <w:rPr>
          <w:rFonts w:hint="eastAsia" w:ascii="宋体" w:hAnsi="宋体" w:eastAsia="宋体" w:cs="宋体"/>
          <w:color w:val="auto"/>
          <w:sz w:val="30"/>
          <w:szCs w:val="30"/>
          <w:highlight w:val="none"/>
          <w:u w:val="single"/>
        </w:rPr>
        <w:t xml:space="preserve">                               </w:t>
      </w:r>
    </w:p>
    <w:p w14:paraId="378A6E81">
      <w:pPr>
        <w:spacing w:line="520" w:lineRule="exact"/>
        <w:ind w:firstLine="437"/>
        <w:rPr>
          <w:rFonts w:hint="eastAsia" w:ascii="宋体" w:hAnsi="宋体" w:eastAsia="宋体" w:cs="宋体"/>
          <w:b/>
          <w:color w:val="auto"/>
          <w:sz w:val="32"/>
          <w:szCs w:val="32"/>
          <w:highlight w:val="none"/>
          <w:u w:val="single"/>
        </w:rPr>
      </w:pPr>
      <w:bookmarkStart w:id="165" w:name="_Toc21187"/>
      <w:bookmarkStart w:id="166" w:name="_Toc3003"/>
      <w:bookmarkStart w:id="167" w:name="_Toc18059"/>
      <w:bookmarkStart w:id="168" w:name="_Toc2209"/>
      <w:r>
        <w:rPr>
          <w:rFonts w:hint="eastAsia" w:ascii="宋体" w:hAnsi="宋体" w:eastAsia="宋体" w:cs="宋体"/>
          <w:color w:val="auto"/>
          <w:sz w:val="30"/>
          <w:szCs w:val="30"/>
          <w:highlight w:val="none"/>
        </w:rPr>
        <w:t>法定代表人</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合伙人</w:t>
      </w:r>
      <w:r>
        <w:rPr>
          <w:rFonts w:hint="eastAsia" w:ascii="宋体" w:hAnsi="宋体" w:cs="宋体"/>
          <w:color w:val="auto"/>
          <w:sz w:val="30"/>
          <w:szCs w:val="30"/>
          <w:highlight w:val="none"/>
          <w:lang w:eastAsia="zh-CN"/>
        </w:rPr>
        <w:t>）</w:t>
      </w:r>
      <w:r>
        <w:rPr>
          <w:rFonts w:hint="eastAsia" w:ascii="宋体" w:hAnsi="宋体" w:eastAsia="宋体" w:cs="宋体"/>
          <w:color w:val="auto"/>
          <w:sz w:val="30"/>
          <w:szCs w:val="30"/>
          <w:highlight w:val="none"/>
        </w:rPr>
        <w:t>或其委托代理人（签字或盖章）:</w:t>
      </w:r>
      <w:bookmarkEnd w:id="165"/>
      <w:bookmarkEnd w:id="166"/>
      <w:bookmarkEnd w:id="167"/>
      <w:bookmarkEnd w:id="168"/>
      <w:r>
        <w:rPr>
          <w:rFonts w:hint="eastAsia" w:ascii="宋体" w:hAnsi="宋体" w:eastAsia="宋体" w:cs="宋体"/>
          <w:color w:val="auto"/>
          <w:sz w:val="30"/>
          <w:szCs w:val="30"/>
          <w:highlight w:val="none"/>
          <w:u w:val="single"/>
        </w:rPr>
        <w:t xml:space="preserve">             </w:t>
      </w:r>
    </w:p>
    <w:p w14:paraId="2544B2CF">
      <w:pPr>
        <w:spacing w:line="520" w:lineRule="exact"/>
        <w:ind w:firstLine="2192" w:firstLineChars="68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bookmarkStart w:id="169" w:name="_Toc4769"/>
      <w:bookmarkStart w:id="170" w:name="_Toc9772"/>
      <w:bookmarkStart w:id="171" w:name="_Toc5559"/>
      <w:bookmarkStart w:id="172" w:name="_Toc24282"/>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bookmarkEnd w:id="169"/>
      <w:bookmarkEnd w:id="170"/>
      <w:bookmarkEnd w:id="171"/>
      <w:bookmarkEnd w:id="172"/>
    </w:p>
    <w:p w14:paraId="2E388123">
      <w:pPr>
        <w:pStyle w:val="3"/>
        <w:keepNext w:val="0"/>
        <w:widowControl w:val="0"/>
        <w:spacing w:before="0" w:after="0" w:line="520" w:lineRule="exact"/>
        <w:jc w:val="center"/>
        <w:rPr>
          <w:rFonts w:hint="eastAsia" w:ascii="宋体" w:hAnsi="宋体" w:eastAsia="宋体" w:cs="宋体"/>
          <w:b/>
          <w:bCs w:val="0"/>
          <w:color w:val="auto"/>
          <w:highlight w:val="none"/>
        </w:rPr>
      </w:pPr>
      <w:bookmarkStart w:id="173" w:name="_Toc11830"/>
      <w:bookmarkStart w:id="174" w:name="_Toc904"/>
      <w:r>
        <w:rPr>
          <w:rFonts w:hint="eastAsia" w:ascii="宋体" w:hAnsi="宋体" w:eastAsia="宋体" w:cs="宋体"/>
          <w:b w:val="0"/>
          <w:color w:val="auto"/>
          <w:sz w:val="30"/>
          <w:szCs w:val="30"/>
          <w:highlight w:val="none"/>
        </w:rPr>
        <w:br w:type="page"/>
      </w:r>
      <w:bookmarkStart w:id="175" w:name="_Toc12920"/>
      <w:r>
        <w:rPr>
          <w:rFonts w:hint="eastAsia" w:ascii="宋体" w:hAnsi="宋体" w:eastAsia="宋体" w:cs="宋体"/>
          <w:b/>
          <w:bCs w:val="0"/>
          <w:color w:val="auto"/>
          <w:sz w:val="30"/>
          <w:szCs w:val="30"/>
          <w:highlight w:val="none"/>
        </w:rPr>
        <w:t>（一）企业证照</w:t>
      </w:r>
      <w:bookmarkEnd w:id="173"/>
      <w:bookmarkEnd w:id="174"/>
      <w:bookmarkEnd w:id="175"/>
    </w:p>
    <w:p w14:paraId="450E24CA">
      <w:pPr>
        <w:widowControl w:val="0"/>
        <w:spacing w:line="52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供应商为法人、其他组织或者自然人；提供有效的营业执照或事业单位法人证书或民办非企业登记证书或社会团体登记证或自然人身份证明。</w:t>
      </w:r>
    </w:p>
    <w:p w14:paraId="1C953EB9">
      <w:pPr>
        <w:widowControl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E33FB36">
      <w:pPr>
        <w:widowControl w:val="0"/>
        <w:spacing w:line="520" w:lineRule="exact"/>
        <w:jc w:val="center"/>
        <w:rPr>
          <w:rFonts w:hint="eastAsia" w:ascii="宋体" w:hAnsi="宋体" w:eastAsia="宋体" w:cs="宋体"/>
          <w:bCs/>
          <w:color w:val="auto"/>
          <w:sz w:val="24"/>
          <w:szCs w:val="24"/>
          <w:highlight w:val="none"/>
        </w:rPr>
      </w:pPr>
      <w:bookmarkStart w:id="176" w:name="_Toc31395"/>
      <w:bookmarkStart w:id="177" w:name="_Toc432792979"/>
    </w:p>
    <w:p w14:paraId="5CDCC700">
      <w:pPr>
        <w:widowControl w:val="0"/>
        <w:spacing w:line="520" w:lineRule="exact"/>
        <w:jc w:val="both"/>
        <w:rPr>
          <w:rFonts w:hint="eastAsia" w:ascii="宋体" w:hAnsi="宋体" w:eastAsia="宋体" w:cs="宋体"/>
          <w:bCs/>
          <w:color w:val="auto"/>
          <w:sz w:val="24"/>
          <w:szCs w:val="24"/>
          <w:highlight w:val="none"/>
        </w:rPr>
      </w:pPr>
    </w:p>
    <w:p w14:paraId="64DA2C15">
      <w:pPr>
        <w:pStyle w:val="3"/>
        <w:keepNext w:val="0"/>
        <w:widowControl w:val="0"/>
        <w:spacing w:before="0" w:after="0" w:line="520" w:lineRule="exact"/>
        <w:jc w:val="center"/>
        <w:rPr>
          <w:rFonts w:hint="eastAsia" w:ascii="宋体" w:hAnsi="宋体" w:eastAsia="宋体" w:cs="宋体"/>
          <w:b/>
          <w:bCs w:val="0"/>
          <w:color w:val="auto"/>
          <w:sz w:val="30"/>
          <w:szCs w:val="30"/>
          <w:highlight w:val="none"/>
          <w:lang w:eastAsia="zh-CN"/>
        </w:rPr>
      </w:pPr>
      <w:bookmarkStart w:id="178" w:name="_Toc13550"/>
      <w:r>
        <w:rPr>
          <w:rFonts w:hint="eastAsia" w:ascii="宋体" w:hAnsi="宋体" w:eastAsia="宋体" w:cs="宋体"/>
          <w:bCs w:val="0"/>
          <w:color w:val="auto"/>
          <w:sz w:val="30"/>
          <w:szCs w:val="30"/>
          <w:highlight w:val="none"/>
        </w:rPr>
        <w:br w:type="page"/>
      </w:r>
      <w:bookmarkStart w:id="179" w:name="_Toc14248"/>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lang w:val="en-US" w:eastAsia="zh-CN"/>
        </w:rPr>
        <w:t>二</w:t>
      </w:r>
      <w:r>
        <w:rPr>
          <w:rFonts w:hint="eastAsia" w:ascii="宋体" w:hAnsi="宋体" w:eastAsia="宋体" w:cs="宋体"/>
          <w:b/>
          <w:bCs w:val="0"/>
          <w:color w:val="auto"/>
          <w:sz w:val="30"/>
          <w:szCs w:val="30"/>
          <w:highlight w:val="none"/>
          <w:lang w:eastAsia="zh-CN"/>
        </w:rPr>
        <w:t>）本项目接受分支机构投标且分支机构须具备有效的营业执照或其它法定证照；同一公司，仅能授权一家分支机构参加投标；分公司参与本项目投标的，须提供总公司针对本项目投标的授权书。（</w:t>
      </w:r>
      <w:r>
        <w:rPr>
          <w:rFonts w:hint="eastAsia" w:ascii="宋体" w:hAnsi="宋体" w:eastAsia="宋体" w:cs="宋体"/>
          <w:b/>
          <w:bCs w:val="0"/>
          <w:color w:val="auto"/>
          <w:sz w:val="30"/>
          <w:szCs w:val="30"/>
          <w:highlight w:val="none"/>
          <w:lang w:val="en-US" w:eastAsia="zh-CN"/>
        </w:rPr>
        <w:t>如有</w:t>
      </w:r>
      <w:r>
        <w:rPr>
          <w:rFonts w:hint="eastAsia" w:ascii="宋体" w:hAnsi="宋体" w:eastAsia="宋体" w:cs="宋体"/>
          <w:b/>
          <w:bCs w:val="0"/>
          <w:color w:val="auto"/>
          <w:sz w:val="30"/>
          <w:szCs w:val="30"/>
          <w:highlight w:val="none"/>
          <w:lang w:eastAsia="zh-CN"/>
        </w:rPr>
        <w:t>）</w:t>
      </w:r>
    </w:p>
    <w:p w14:paraId="059F9FC8">
      <w:pPr>
        <w:rPr>
          <w:rFonts w:hint="eastAsia" w:ascii="宋体" w:hAnsi="宋体" w:eastAsia="宋体" w:cs="宋体"/>
          <w:b/>
          <w:bCs w:val="0"/>
          <w:color w:val="auto"/>
          <w:sz w:val="30"/>
          <w:szCs w:val="30"/>
          <w:highlight w:val="none"/>
          <w:lang w:eastAsia="zh-CN"/>
        </w:rPr>
      </w:pPr>
      <w:r>
        <w:rPr>
          <w:rFonts w:hint="eastAsia" w:ascii="宋体" w:hAnsi="宋体" w:eastAsia="宋体" w:cs="宋体"/>
          <w:b/>
          <w:bCs w:val="0"/>
          <w:color w:val="auto"/>
          <w:sz w:val="30"/>
          <w:szCs w:val="30"/>
          <w:highlight w:val="none"/>
          <w:lang w:eastAsia="zh-CN"/>
        </w:rPr>
        <w:br w:type="page"/>
      </w:r>
    </w:p>
    <w:p w14:paraId="7B1E1A64">
      <w:pPr>
        <w:pStyle w:val="3"/>
        <w:keepNext w:val="0"/>
        <w:widowControl w:val="0"/>
        <w:spacing w:before="0" w:after="0" w:line="520" w:lineRule="exact"/>
        <w:jc w:val="center"/>
        <w:rPr>
          <w:rFonts w:hint="eastAsia" w:ascii="宋体" w:hAnsi="宋体" w:eastAsia="宋体" w:cs="宋体"/>
          <w:b/>
          <w:bCs w:val="0"/>
          <w:color w:val="auto"/>
          <w:sz w:val="30"/>
          <w:szCs w:val="30"/>
          <w:highlight w:val="none"/>
          <w:lang w:eastAsia="zh-CN"/>
        </w:rPr>
      </w:pP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lang w:val="en-US" w:eastAsia="zh-CN"/>
        </w:rPr>
        <w:t>三</w:t>
      </w:r>
      <w:r>
        <w:rPr>
          <w:rFonts w:hint="eastAsia" w:ascii="宋体" w:hAnsi="宋体" w:eastAsia="宋体" w:cs="宋体"/>
          <w:b/>
          <w:bCs w:val="0"/>
          <w:color w:val="auto"/>
          <w:sz w:val="30"/>
          <w:szCs w:val="30"/>
          <w:highlight w:val="none"/>
          <w:lang w:eastAsia="zh-CN"/>
        </w:rPr>
        <w:t>）须具有开展相关审计工作所需的执业证书。</w:t>
      </w:r>
    </w:p>
    <w:p w14:paraId="6AE8A17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DE06CC3">
      <w:pPr>
        <w:pStyle w:val="3"/>
        <w:keepNext w:val="0"/>
        <w:widowControl w:val="0"/>
        <w:spacing w:before="0" w:after="0" w:line="520" w:lineRule="exact"/>
        <w:jc w:val="center"/>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（四）财务要求</w:t>
      </w:r>
    </w:p>
    <w:p w14:paraId="03F5C885">
      <w:pPr>
        <w:pStyle w:val="4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提供2022至2024年中任意一年的经审计的财务报告或近三个月内基本开户银行出具的资信证明（成立时间不足一年的，可提供近三个月内基本开户银行出具的资信证明或自成立至今经第三方审计的财务报告）。</w:t>
      </w:r>
    </w:p>
    <w:p w14:paraId="1E70E95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C933363">
      <w:pPr>
        <w:pStyle w:val="3"/>
        <w:keepNext w:val="0"/>
        <w:widowControl w:val="0"/>
        <w:spacing w:before="0" w:after="0" w:line="520" w:lineRule="exact"/>
        <w:jc w:val="center"/>
        <w:rPr>
          <w:rFonts w:hint="eastAsia" w:ascii="宋体" w:hAnsi="宋体" w:eastAsia="宋体" w:cs="宋体"/>
          <w:color w:val="auto"/>
          <w:sz w:val="24"/>
          <w:szCs w:val="24"/>
          <w:highlight w:val="none"/>
        </w:rPr>
      </w:pPr>
      <w:r>
        <w:rPr>
          <w:rFonts w:hint="eastAsia" w:ascii="宋体" w:hAnsi="宋体" w:eastAsia="宋体" w:cs="宋体"/>
          <w:b/>
          <w:bCs w:val="0"/>
          <w:color w:val="auto"/>
          <w:sz w:val="30"/>
          <w:szCs w:val="30"/>
          <w:highlight w:val="none"/>
          <w:lang w:val="en-US" w:eastAsia="zh-CN"/>
        </w:rPr>
        <w:t>（五）供应商应在“信用中国”网站（www.creditchina.gov.cn）未被列入失信被执行人记录、重大税收违法失信主体且在中国政府采购网(www.ccgp.gov.cn)没有政府采购严重违法失信行为记录。</w:t>
      </w:r>
    </w:p>
    <w:p w14:paraId="46A53449">
      <w:pPr>
        <w:rPr>
          <w:rFonts w:hint="eastAsia" w:ascii="宋体" w:hAnsi="宋体" w:eastAsia="宋体" w:cs="宋体"/>
          <w:bCs w:val="0"/>
          <w:color w:val="auto"/>
          <w:sz w:val="30"/>
          <w:szCs w:val="30"/>
          <w:highlight w:val="none"/>
        </w:rPr>
      </w:pPr>
      <w:r>
        <w:rPr>
          <w:rFonts w:hint="eastAsia" w:ascii="宋体" w:hAnsi="宋体" w:eastAsia="宋体" w:cs="宋体"/>
          <w:bCs w:val="0"/>
          <w:color w:val="auto"/>
          <w:sz w:val="30"/>
          <w:szCs w:val="30"/>
          <w:highlight w:val="none"/>
        </w:rPr>
        <w:br w:type="page"/>
      </w:r>
    </w:p>
    <w:p w14:paraId="7D63475C">
      <w:pPr>
        <w:pStyle w:val="3"/>
        <w:keepNext w:val="0"/>
        <w:widowControl w:val="0"/>
        <w:spacing w:before="0" w:after="0" w:line="520" w:lineRule="exact"/>
        <w:jc w:val="center"/>
        <w:outlineLvl w:val="1"/>
        <w:rPr>
          <w:rFonts w:hint="eastAsia" w:ascii="宋体" w:hAnsi="宋体" w:eastAsia="宋体" w:cs="宋体"/>
          <w:b/>
          <w:bCs w:val="0"/>
          <w:color w:val="auto"/>
          <w:sz w:val="30"/>
          <w:szCs w:val="30"/>
          <w:highlight w:val="none"/>
          <w:lang w:eastAsia="zh-CN"/>
        </w:rPr>
      </w:pPr>
      <w:r>
        <w:rPr>
          <w:rFonts w:hint="eastAsia" w:ascii="宋体" w:hAnsi="宋体" w:eastAsia="宋体" w:cs="宋体"/>
          <w:b/>
          <w:bCs w:val="0"/>
          <w:color w:val="auto"/>
          <w:sz w:val="30"/>
          <w:szCs w:val="30"/>
          <w:highlight w:val="none"/>
        </w:rPr>
        <w:t>（</w:t>
      </w:r>
      <w:r>
        <w:rPr>
          <w:rFonts w:hint="eastAsia" w:ascii="宋体" w:hAnsi="宋体" w:eastAsia="宋体" w:cs="宋体"/>
          <w:b/>
          <w:bCs w:val="0"/>
          <w:color w:val="auto"/>
          <w:sz w:val="30"/>
          <w:szCs w:val="30"/>
          <w:highlight w:val="none"/>
          <w:lang w:val="en-US" w:eastAsia="zh-CN"/>
        </w:rPr>
        <w:t>六</w:t>
      </w:r>
      <w:r>
        <w:rPr>
          <w:rFonts w:hint="eastAsia" w:ascii="宋体" w:hAnsi="宋体" w:eastAsia="宋体" w:cs="宋体"/>
          <w:b/>
          <w:bCs w:val="0"/>
          <w:color w:val="auto"/>
          <w:sz w:val="30"/>
          <w:szCs w:val="30"/>
          <w:highlight w:val="none"/>
        </w:rPr>
        <w:t>）近三年类似业绩一览表</w:t>
      </w:r>
      <w:bookmarkEnd w:id="178"/>
      <w:bookmarkEnd w:id="179"/>
    </w:p>
    <w:tbl>
      <w:tblPr>
        <w:tblStyle w:val="25"/>
        <w:tblW w:w="87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2"/>
        <w:gridCol w:w="2502"/>
        <w:gridCol w:w="1667"/>
        <w:gridCol w:w="2333"/>
        <w:gridCol w:w="1460"/>
      </w:tblGrid>
      <w:tr w14:paraId="483FE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3" w:hRule="atLeast"/>
          <w:jc w:val="center"/>
        </w:trPr>
        <w:tc>
          <w:tcPr>
            <w:tcW w:w="822" w:type="dxa"/>
            <w:tcBorders>
              <w:top w:val="single" w:color="auto" w:sz="6" w:space="0"/>
              <w:left w:val="single" w:color="auto" w:sz="6" w:space="0"/>
              <w:bottom w:val="single" w:color="auto" w:sz="6" w:space="0"/>
              <w:right w:val="single" w:color="auto" w:sz="6" w:space="0"/>
            </w:tcBorders>
            <w:noWrap w:val="0"/>
            <w:vAlign w:val="center"/>
          </w:tcPr>
          <w:p w14:paraId="1B406385">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02" w:type="dxa"/>
            <w:tcBorders>
              <w:top w:val="single" w:color="auto" w:sz="6" w:space="0"/>
              <w:left w:val="single" w:color="auto" w:sz="6" w:space="0"/>
              <w:bottom w:val="single" w:color="auto" w:sz="6" w:space="0"/>
              <w:right w:val="single" w:color="auto" w:sz="6" w:space="0"/>
            </w:tcBorders>
            <w:noWrap w:val="0"/>
            <w:vAlign w:val="center"/>
          </w:tcPr>
          <w:p w14:paraId="25050762">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67" w:type="dxa"/>
            <w:tcBorders>
              <w:top w:val="single" w:color="auto" w:sz="6" w:space="0"/>
              <w:left w:val="single" w:color="auto" w:sz="6" w:space="0"/>
              <w:bottom w:val="single" w:color="auto" w:sz="6" w:space="0"/>
              <w:right w:val="single" w:color="auto" w:sz="4" w:space="0"/>
            </w:tcBorders>
            <w:noWrap w:val="0"/>
            <w:vAlign w:val="center"/>
          </w:tcPr>
          <w:p w14:paraId="08B77097">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2333" w:type="dxa"/>
            <w:tcBorders>
              <w:top w:val="single" w:color="auto" w:sz="6" w:space="0"/>
              <w:left w:val="single" w:color="auto" w:sz="4" w:space="0"/>
              <w:bottom w:val="single" w:color="auto" w:sz="6" w:space="0"/>
              <w:right w:val="single" w:color="auto" w:sz="4" w:space="0"/>
            </w:tcBorders>
            <w:noWrap w:val="0"/>
            <w:vAlign w:val="center"/>
          </w:tcPr>
          <w:p w14:paraId="7A603C8A">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60" w:type="dxa"/>
            <w:tcBorders>
              <w:top w:val="single" w:color="auto" w:sz="6" w:space="0"/>
              <w:left w:val="single" w:color="auto" w:sz="6" w:space="0"/>
              <w:bottom w:val="single" w:color="auto" w:sz="6" w:space="0"/>
              <w:right w:val="single" w:color="auto" w:sz="6" w:space="0"/>
            </w:tcBorders>
            <w:noWrap w:val="0"/>
            <w:vAlign w:val="center"/>
          </w:tcPr>
          <w:p w14:paraId="20B89CFF">
            <w:pPr>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服务周期</w:t>
            </w:r>
          </w:p>
        </w:tc>
      </w:tr>
      <w:tr w14:paraId="0E27B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3" w:hRule="atLeast"/>
          <w:jc w:val="center"/>
        </w:trPr>
        <w:tc>
          <w:tcPr>
            <w:tcW w:w="822" w:type="dxa"/>
            <w:tcBorders>
              <w:top w:val="single" w:color="auto" w:sz="6" w:space="0"/>
              <w:left w:val="single" w:color="auto" w:sz="6" w:space="0"/>
              <w:bottom w:val="single" w:color="auto" w:sz="6" w:space="0"/>
              <w:right w:val="single" w:color="auto" w:sz="6" w:space="0"/>
            </w:tcBorders>
            <w:noWrap w:val="0"/>
            <w:vAlign w:val="center"/>
          </w:tcPr>
          <w:p w14:paraId="0973AF2C">
            <w:pPr>
              <w:spacing w:line="360" w:lineRule="auto"/>
              <w:ind w:left="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02" w:type="dxa"/>
            <w:tcBorders>
              <w:top w:val="single" w:color="auto" w:sz="6" w:space="0"/>
              <w:left w:val="single" w:color="auto" w:sz="6" w:space="0"/>
              <w:bottom w:val="single" w:color="auto" w:sz="6" w:space="0"/>
              <w:right w:val="single" w:color="auto" w:sz="6" w:space="0"/>
            </w:tcBorders>
            <w:noWrap w:val="0"/>
            <w:vAlign w:val="center"/>
          </w:tcPr>
          <w:p w14:paraId="7DD6DF70">
            <w:pPr>
              <w:spacing w:line="360" w:lineRule="auto"/>
              <w:jc w:val="center"/>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4" w:space="0"/>
            </w:tcBorders>
            <w:noWrap w:val="0"/>
            <w:vAlign w:val="center"/>
          </w:tcPr>
          <w:p w14:paraId="1664D245">
            <w:pPr>
              <w:spacing w:line="360" w:lineRule="auto"/>
              <w:jc w:val="center"/>
              <w:rPr>
                <w:rFonts w:hint="eastAsia" w:ascii="宋体" w:hAnsi="宋体" w:eastAsia="宋体" w:cs="宋体"/>
                <w:color w:val="auto"/>
                <w:szCs w:val="21"/>
                <w:highlight w:val="none"/>
              </w:rPr>
            </w:pPr>
          </w:p>
        </w:tc>
        <w:tc>
          <w:tcPr>
            <w:tcW w:w="2333" w:type="dxa"/>
            <w:tcBorders>
              <w:top w:val="single" w:color="auto" w:sz="6" w:space="0"/>
              <w:left w:val="single" w:color="auto" w:sz="4" w:space="0"/>
              <w:bottom w:val="single" w:color="auto" w:sz="6" w:space="0"/>
              <w:right w:val="single" w:color="auto" w:sz="4" w:space="0"/>
            </w:tcBorders>
            <w:noWrap w:val="0"/>
            <w:vAlign w:val="center"/>
          </w:tcPr>
          <w:p w14:paraId="30FBE43E">
            <w:pPr>
              <w:spacing w:line="360" w:lineRule="auto"/>
              <w:jc w:val="center"/>
              <w:rPr>
                <w:rFonts w:hint="eastAsia" w:ascii="宋体" w:hAnsi="宋体" w:eastAsia="宋体" w:cs="宋体"/>
                <w:color w:val="auto"/>
                <w:szCs w:val="21"/>
                <w:highlight w:val="none"/>
              </w:rPr>
            </w:pPr>
          </w:p>
        </w:tc>
        <w:tc>
          <w:tcPr>
            <w:tcW w:w="1460" w:type="dxa"/>
            <w:tcBorders>
              <w:top w:val="single" w:color="auto" w:sz="6" w:space="0"/>
              <w:left w:val="single" w:color="auto" w:sz="6" w:space="0"/>
              <w:bottom w:val="single" w:color="auto" w:sz="6" w:space="0"/>
              <w:right w:val="single" w:color="auto" w:sz="6" w:space="0"/>
            </w:tcBorders>
            <w:noWrap w:val="0"/>
            <w:vAlign w:val="center"/>
          </w:tcPr>
          <w:p w14:paraId="164D7788">
            <w:pPr>
              <w:spacing w:line="360" w:lineRule="auto"/>
              <w:jc w:val="center"/>
              <w:rPr>
                <w:rFonts w:hint="eastAsia" w:ascii="宋体" w:hAnsi="宋体" w:eastAsia="宋体" w:cs="宋体"/>
                <w:color w:val="auto"/>
                <w:szCs w:val="21"/>
                <w:highlight w:val="none"/>
              </w:rPr>
            </w:pPr>
          </w:p>
        </w:tc>
      </w:tr>
      <w:tr w14:paraId="32DA4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3" w:hRule="atLeast"/>
          <w:jc w:val="center"/>
        </w:trPr>
        <w:tc>
          <w:tcPr>
            <w:tcW w:w="822" w:type="dxa"/>
            <w:tcBorders>
              <w:top w:val="single" w:color="auto" w:sz="6" w:space="0"/>
              <w:left w:val="single" w:color="auto" w:sz="6" w:space="0"/>
              <w:bottom w:val="single" w:color="auto" w:sz="6" w:space="0"/>
              <w:right w:val="single" w:color="auto" w:sz="6" w:space="0"/>
            </w:tcBorders>
            <w:noWrap w:val="0"/>
            <w:vAlign w:val="center"/>
          </w:tcPr>
          <w:p w14:paraId="218EF872">
            <w:pPr>
              <w:spacing w:line="360" w:lineRule="auto"/>
              <w:ind w:left="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02" w:type="dxa"/>
            <w:tcBorders>
              <w:top w:val="single" w:color="auto" w:sz="6" w:space="0"/>
              <w:left w:val="single" w:color="auto" w:sz="6" w:space="0"/>
              <w:bottom w:val="single" w:color="auto" w:sz="6" w:space="0"/>
              <w:right w:val="single" w:color="auto" w:sz="6" w:space="0"/>
            </w:tcBorders>
            <w:noWrap w:val="0"/>
            <w:vAlign w:val="center"/>
          </w:tcPr>
          <w:p w14:paraId="4F97300B">
            <w:pPr>
              <w:spacing w:line="360" w:lineRule="auto"/>
              <w:jc w:val="center"/>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4" w:space="0"/>
            </w:tcBorders>
            <w:noWrap w:val="0"/>
            <w:vAlign w:val="center"/>
          </w:tcPr>
          <w:p w14:paraId="4F298A86">
            <w:pPr>
              <w:spacing w:line="360" w:lineRule="auto"/>
              <w:jc w:val="center"/>
              <w:rPr>
                <w:rFonts w:hint="eastAsia" w:ascii="宋体" w:hAnsi="宋体" w:eastAsia="宋体" w:cs="宋体"/>
                <w:color w:val="auto"/>
                <w:szCs w:val="21"/>
                <w:highlight w:val="none"/>
              </w:rPr>
            </w:pPr>
          </w:p>
        </w:tc>
        <w:tc>
          <w:tcPr>
            <w:tcW w:w="2333" w:type="dxa"/>
            <w:tcBorders>
              <w:top w:val="single" w:color="auto" w:sz="6" w:space="0"/>
              <w:left w:val="single" w:color="auto" w:sz="4" w:space="0"/>
              <w:bottom w:val="single" w:color="auto" w:sz="6" w:space="0"/>
              <w:right w:val="single" w:color="auto" w:sz="4" w:space="0"/>
            </w:tcBorders>
            <w:noWrap w:val="0"/>
            <w:vAlign w:val="center"/>
          </w:tcPr>
          <w:p w14:paraId="271516C2">
            <w:pPr>
              <w:spacing w:line="360" w:lineRule="auto"/>
              <w:jc w:val="center"/>
              <w:rPr>
                <w:rFonts w:hint="eastAsia" w:ascii="宋体" w:hAnsi="宋体" w:eastAsia="宋体" w:cs="宋体"/>
                <w:color w:val="auto"/>
                <w:szCs w:val="21"/>
                <w:highlight w:val="none"/>
              </w:rPr>
            </w:pPr>
          </w:p>
        </w:tc>
        <w:tc>
          <w:tcPr>
            <w:tcW w:w="1460" w:type="dxa"/>
            <w:tcBorders>
              <w:top w:val="single" w:color="auto" w:sz="6" w:space="0"/>
              <w:left w:val="single" w:color="auto" w:sz="6" w:space="0"/>
              <w:bottom w:val="single" w:color="auto" w:sz="6" w:space="0"/>
              <w:right w:val="single" w:color="auto" w:sz="6" w:space="0"/>
            </w:tcBorders>
            <w:noWrap w:val="0"/>
            <w:vAlign w:val="center"/>
          </w:tcPr>
          <w:p w14:paraId="48E8F515">
            <w:pPr>
              <w:spacing w:line="360" w:lineRule="auto"/>
              <w:jc w:val="center"/>
              <w:rPr>
                <w:rFonts w:hint="eastAsia" w:ascii="宋体" w:hAnsi="宋体" w:eastAsia="宋体" w:cs="宋体"/>
                <w:color w:val="auto"/>
                <w:szCs w:val="21"/>
                <w:highlight w:val="none"/>
              </w:rPr>
            </w:pPr>
          </w:p>
        </w:tc>
      </w:tr>
      <w:tr w14:paraId="29C11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3" w:hRule="atLeast"/>
          <w:jc w:val="center"/>
        </w:trPr>
        <w:tc>
          <w:tcPr>
            <w:tcW w:w="822" w:type="dxa"/>
            <w:tcBorders>
              <w:top w:val="single" w:color="auto" w:sz="6" w:space="0"/>
              <w:left w:val="single" w:color="auto" w:sz="6" w:space="0"/>
              <w:bottom w:val="single" w:color="auto" w:sz="6" w:space="0"/>
              <w:right w:val="single" w:color="auto" w:sz="6" w:space="0"/>
            </w:tcBorders>
            <w:noWrap w:val="0"/>
            <w:vAlign w:val="center"/>
          </w:tcPr>
          <w:p w14:paraId="43CDBEE2">
            <w:pPr>
              <w:spacing w:line="360" w:lineRule="auto"/>
              <w:ind w:left="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02" w:type="dxa"/>
            <w:tcBorders>
              <w:top w:val="single" w:color="auto" w:sz="6" w:space="0"/>
              <w:left w:val="single" w:color="auto" w:sz="6" w:space="0"/>
              <w:bottom w:val="single" w:color="auto" w:sz="6" w:space="0"/>
              <w:right w:val="single" w:color="auto" w:sz="6" w:space="0"/>
            </w:tcBorders>
            <w:noWrap w:val="0"/>
            <w:vAlign w:val="center"/>
          </w:tcPr>
          <w:p w14:paraId="2B286F6A">
            <w:pPr>
              <w:spacing w:line="360" w:lineRule="auto"/>
              <w:jc w:val="center"/>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4" w:space="0"/>
            </w:tcBorders>
            <w:noWrap w:val="0"/>
            <w:vAlign w:val="center"/>
          </w:tcPr>
          <w:p w14:paraId="11797A8B">
            <w:pPr>
              <w:spacing w:line="360" w:lineRule="auto"/>
              <w:jc w:val="center"/>
              <w:rPr>
                <w:rFonts w:hint="eastAsia" w:ascii="宋体" w:hAnsi="宋体" w:eastAsia="宋体" w:cs="宋体"/>
                <w:color w:val="auto"/>
                <w:szCs w:val="21"/>
                <w:highlight w:val="none"/>
              </w:rPr>
            </w:pPr>
          </w:p>
        </w:tc>
        <w:tc>
          <w:tcPr>
            <w:tcW w:w="2333" w:type="dxa"/>
            <w:tcBorders>
              <w:top w:val="single" w:color="auto" w:sz="6" w:space="0"/>
              <w:left w:val="single" w:color="auto" w:sz="4" w:space="0"/>
              <w:bottom w:val="single" w:color="auto" w:sz="6" w:space="0"/>
              <w:right w:val="single" w:color="auto" w:sz="4" w:space="0"/>
            </w:tcBorders>
            <w:noWrap w:val="0"/>
            <w:vAlign w:val="center"/>
          </w:tcPr>
          <w:p w14:paraId="21867FBA">
            <w:pPr>
              <w:spacing w:line="360" w:lineRule="auto"/>
              <w:jc w:val="center"/>
              <w:rPr>
                <w:rFonts w:hint="eastAsia" w:ascii="宋体" w:hAnsi="宋体" w:eastAsia="宋体" w:cs="宋体"/>
                <w:color w:val="auto"/>
                <w:szCs w:val="21"/>
                <w:highlight w:val="none"/>
              </w:rPr>
            </w:pPr>
          </w:p>
        </w:tc>
        <w:tc>
          <w:tcPr>
            <w:tcW w:w="1460" w:type="dxa"/>
            <w:tcBorders>
              <w:top w:val="single" w:color="auto" w:sz="6" w:space="0"/>
              <w:left w:val="single" w:color="auto" w:sz="6" w:space="0"/>
              <w:bottom w:val="single" w:color="auto" w:sz="6" w:space="0"/>
              <w:right w:val="single" w:color="auto" w:sz="6" w:space="0"/>
            </w:tcBorders>
            <w:noWrap w:val="0"/>
            <w:vAlign w:val="center"/>
          </w:tcPr>
          <w:p w14:paraId="2C00BF66">
            <w:pPr>
              <w:spacing w:line="360" w:lineRule="auto"/>
              <w:jc w:val="center"/>
              <w:rPr>
                <w:rFonts w:hint="eastAsia" w:ascii="宋体" w:hAnsi="宋体" w:eastAsia="宋体" w:cs="宋体"/>
                <w:color w:val="auto"/>
                <w:szCs w:val="21"/>
                <w:highlight w:val="none"/>
              </w:rPr>
            </w:pPr>
          </w:p>
        </w:tc>
      </w:tr>
      <w:tr w14:paraId="677E9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3" w:hRule="atLeast"/>
          <w:jc w:val="center"/>
        </w:trPr>
        <w:tc>
          <w:tcPr>
            <w:tcW w:w="822" w:type="dxa"/>
            <w:tcBorders>
              <w:top w:val="single" w:color="auto" w:sz="6" w:space="0"/>
              <w:left w:val="single" w:color="auto" w:sz="6" w:space="0"/>
              <w:bottom w:val="single" w:color="auto" w:sz="6" w:space="0"/>
              <w:right w:val="single" w:color="auto" w:sz="6" w:space="0"/>
            </w:tcBorders>
            <w:noWrap w:val="0"/>
            <w:vAlign w:val="center"/>
          </w:tcPr>
          <w:p w14:paraId="6FAEDE6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02" w:type="dxa"/>
            <w:tcBorders>
              <w:top w:val="single" w:color="auto" w:sz="6" w:space="0"/>
              <w:left w:val="single" w:color="auto" w:sz="6" w:space="0"/>
              <w:bottom w:val="single" w:color="auto" w:sz="6" w:space="0"/>
              <w:right w:val="single" w:color="auto" w:sz="6" w:space="0"/>
            </w:tcBorders>
            <w:noWrap w:val="0"/>
            <w:vAlign w:val="center"/>
          </w:tcPr>
          <w:p w14:paraId="37835FFC">
            <w:pPr>
              <w:spacing w:line="360" w:lineRule="auto"/>
              <w:jc w:val="center"/>
              <w:rPr>
                <w:rFonts w:hint="eastAsia" w:ascii="宋体" w:hAnsi="宋体" w:eastAsia="宋体" w:cs="宋体"/>
                <w:color w:val="auto"/>
                <w:szCs w:val="21"/>
                <w:highlight w:val="none"/>
              </w:rPr>
            </w:pPr>
          </w:p>
        </w:tc>
        <w:tc>
          <w:tcPr>
            <w:tcW w:w="1667" w:type="dxa"/>
            <w:tcBorders>
              <w:top w:val="single" w:color="auto" w:sz="6" w:space="0"/>
              <w:left w:val="single" w:color="auto" w:sz="6" w:space="0"/>
              <w:bottom w:val="single" w:color="auto" w:sz="6" w:space="0"/>
              <w:right w:val="single" w:color="auto" w:sz="4" w:space="0"/>
            </w:tcBorders>
            <w:noWrap w:val="0"/>
            <w:vAlign w:val="center"/>
          </w:tcPr>
          <w:p w14:paraId="600EBF06">
            <w:pPr>
              <w:spacing w:line="360" w:lineRule="auto"/>
              <w:jc w:val="center"/>
              <w:rPr>
                <w:rFonts w:hint="eastAsia" w:ascii="宋体" w:hAnsi="宋体" w:eastAsia="宋体" w:cs="宋体"/>
                <w:color w:val="auto"/>
                <w:szCs w:val="21"/>
                <w:highlight w:val="none"/>
              </w:rPr>
            </w:pPr>
          </w:p>
        </w:tc>
        <w:tc>
          <w:tcPr>
            <w:tcW w:w="2333" w:type="dxa"/>
            <w:tcBorders>
              <w:top w:val="single" w:color="auto" w:sz="6" w:space="0"/>
              <w:left w:val="single" w:color="auto" w:sz="4" w:space="0"/>
              <w:bottom w:val="single" w:color="auto" w:sz="6" w:space="0"/>
              <w:right w:val="single" w:color="auto" w:sz="4" w:space="0"/>
            </w:tcBorders>
            <w:noWrap w:val="0"/>
            <w:vAlign w:val="center"/>
          </w:tcPr>
          <w:p w14:paraId="50C66031">
            <w:pPr>
              <w:spacing w:line="360" w:lineRule="auto"/>
              <w:jc w:val="center"/>
              <w:rPr>
                <w:rFonts w:hint="eastAsia" w:ascii="宋体" w:hAnsi="宋体" w:eastAsia="宋体" w:cs="宋体"/>
                <w:color w:val="auto"/>
                <w:szCs w:val="21"/>
                <w:highlight w:val="none"/>
              </w:rPr>
            </w:pPr>
          </w:p>
        </w:tc>
        <w:tc>
          <w:tcPr>
            <w:tcW w:w="1460" w:type="dxa"/>
            <w:tcBorders>
              <w:top w:val="single" w:color="auto" w:sz="6" w:space="0"/>
              <w:left w:val="single" w:color="auto" w:sz="6" w:space="0"/>
              <w:bottom w:val="single" w:color="auto" w:sz="6" w:space="0"/>
              <w:right w:val="single" w:color="auto" w:sz="6" w:space="0"/>
            </w:tcBorders>
            <w:noWrap w:val="0"/>
            <w:vAlign w:val="center"/>
          </w:tcPr>
          <w:p w14:paraId="4A21EFF2">
            <w:pPr>
              <w:spacing w:line="360" w:lineRule="auto"/>
              <w:jc w:val="center"/>
              <w:rPr>
                <w:rFonts w:hint="eastAsia" w:ascii="宋体" w:hAnsi="宋体" w:eastAsia="宋体" w:cs="宋体"/>
                <w:color w:val="auto"/>
                <w:szCs w:val="21"/>
                <w:highlight w:val="none"/>
              </w:rPr>
            </w:pPr>
          </w:p>
        </w:tc>
      </w:tr>
    </w:tbl>
    <w:p w14:paraId="0DCEE936">
      <w:pPr>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注：此表可扩展；</w:t>
      </w:r>
      <w:r>
        <w:rPr>
          <w:rFonts w:hint="eastAsia" w:ascii="宋体" w:hAnsi="宋体" w:cs="宋体"/>
          <w:color w:val="auto"/>
          <w:sz w:val="24"/>
          <w:szCs w:val="24"/>
          <w:highlight w:val="none"/>
          <w:lang w:val="en-US" w:eastAsia="zh-CN"/>
        </w:rPr>
        <w:t>供应商根据自身实际情况如实填报</w:t>
      </w:r>
      <w:r>
        <w:rPr>
          <w:rFonts w:hint="eastAsia" w:ascii="宋体" w:hAnsi="宋体" w:eastAsia="宋体" w:cs="宋体"/>
          <w:color w:val="auto"/>
          <w:sz w:val="24"/>
          <w:szCs w:val="24"/>
          <w:highlight w:val="none"/>
        </w:rPr>
        <w:t>。企业业绩：近三年内（2022年至今）最少须具有2个类似项目业绩。（类似项目业绩以中标通知书或合同协议书为准。）并加盖供应商公章。</w:t>
      </w:r>
    </w:p>
    <w:p w14:paraId="0E617EF8">
      <w:pPr>
        <w:spacing w:line="360" w:lineRule="auto"/>
        <w:ind w:firstLine="400" w:firstLineChars="200"/>
        <w:rPr>
          <w:rFonts w:hint="eastAsia" w:ascii="宋体" w:hAnsi="宋体" w:eastAsia="宋体" w:cs="宋体"/>
          <w:color w:val="auto"/>
          <w:szCs w:val="21"/>
          <w:highlight w:val="none"/>
        </w:rPr>
      </w:pPr>
    </w:p>
    <w:p w14:paraId="5FEC5A3C">
      <w:pPr>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1C20742">
      <w:pPr>
        <w:spacing w:line="360" w:lineRule="auto"/>
        <w:ind w:firstLine="480" w:firstLineChars="200"/>
        <w:rPr>
          <w:rFonts w:hint="eastAsia" w:ascii="宋体" w:hAnsi="宋体" w:eastAsia="宋体" w:cs="宋体"/>
          <w:color w:val="auto"/>
          <w:sz w:val="24"/>
          <w:szCs w:val="24"/>
          <w:highlight w:val="none"/>
        </w:rPr>
      </w:pPr>
    </w:p>
    <w:p w14:paraId="466D4CCF">
      <w:pPr>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法定代表人（合伙人）或委托代理人：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FB16AB9">
      <w:pPr>
        <w:spacing w:line="360" w:lineRule="auto"/>
        <w:ind w:firstLine="480" w:firstLineChars="200"/>
        <w:rPr>
          <w:rFonts w:hint="eastAsia" w:ascii="宋体" w:hAnsi="宋体" w:eastAsia="宋体" w:cs="宋体"/>
          <w:color w:val="auto"/>
          <w:sz w:val="24"/>
          <w:szCs w:val="24"/>
          <w:highlight w:val="none"/>
        </w:rPr>
      </w:pPr>
    </w:p>
    <w:p w14:paraId="05196534">
      <w:pPr>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0EF734">
      <w:pPr>
        <w:pStyle w:val="3"/>
        <w:keepNext w:val="0"/>
        <w:widowControl w:val="0"/>
        <w:spacing w:before="0" w:after="0" w:line="520" w:lineRule="exact"/>
        <w:jc w:val="center"/>
        <w:rPr>
          <w:rFonts w:hint="eastAsia" w:ascii="宋体" w:hAnsi="宋体" w:eastAsia="宋体" w:cs="宋体"/>
          <w:b/>
          <w:bCs w:val="0"/>
          <w:color w:val="auto"/>
          <w:sz w:val="30"/>
          <w:szCs w:val="30"/>
          <w:highlight w:val="none"/>
        </w:rPr>
      </w:pPr>
      <w:bookmarkStart w:id="180" w:name="_Toc22885"/>
      <w:r>
        <w:rPr>
          <w:rFonts w:hint="eastAsia" w:ascii="宋体" w:hAnsi="宋体" w:eastAsia="宋体" w:cs="宋体"/>
          <w:bCs w:val="0"/>
          <w:color w:val="auto"/>
          <w:sz w:val="30"/>
          <w:szCs w:val="30"/>
          <w:highlight w:val="none"/>
        </w:rPr>
        <w:br w:type="page"/>
      </w:r>
      <w:bookmarkEnd w:id="180"/>
      <w:bookmarkStart w:id="181" w:name="_Toc19158"/>
      <w:bookmarkStart w:id="182" w:name="_Toc26426"/>
      <w:bookmarkStart w:id="183" w:name="_Toc1195"/>
      <w:bookmarkStart w:id="184" w:name="_Toc480964358"/>
      <w:bookmarkStart w:id="185" w:name="_Toc511681381"/>
      <w:r>
        <w:rPr>
          <w:rFonts w:hint="eastAsia" w:ascii="宋体" w:hAnsi="宋体" w:eastAsia="宋体" w:cs="宋体"/>
          <w:b/>
          <w:bCs w:val="0"/>
          <w:color w:val="auto"/>
          <w:sz w:val="30"/>
          <w:szCs w:val="30"/>
          <w:highlight w:val="none"/>
        </w:rPr>
        <w:t>（</w:t>
      </w:r>
      <w:r>
        <w:rPr>
          <w:rFonts w:hint="eastAsia" w:ascii="宋体" w:hAnsi="宋体" w:eastAsia="宋体" w:cs="宋体"/>
          <w:b/>
          <w:bCs w:val="0"/>
          <w:color w:val="auto"/>
          <w:sz w:val="30"/>
          <w:szCs w:val="30"/>
          <w:highlight w:val="none"/>
          <w:lang w:val="en-US" w:eastAsia="zh-CN"/>
        </w:rPr>
        <w:t>七</w:t>
      </w:r>
      <w:r>
        <w:rPr>
          <w:rFonts w:hint="eastAsia" w:ascii="宋体" w:hAnsi="宋体" w:eastAsia="宋体" w:cs="宋体"/>
          <w:b/>
          <w:bCs w:val="0"/>
          <w:color w:val="auto"/>
          <w:sz w:val="30"/>
          <w:szCs w:val="30"/>
          <w:highlight w:val="none"/>
        </w:rPr>
        <w:t>）企业信誉情况</w:t>
      </w:r>
      <w:bookmarkEnd w:id="181"/>
      <w:bookmarkEnd w:id="182"/>
    </w:p>
    <w:p w14:paraId="32ECE1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供应商自2022年1月1日至今未被依法暂停或者取消投标资格；未被责令停产停业、暂扣或者吊销许可证、暂扣或者吊销执照；未进入清算程序或被宣告破产或其他丧失履约能力的情形。(由供应商以承诺书的方式进行承诺)</w:t>
      </w:r>
      <w:r>
        <w:rPr>
          <w:rFonts w:hint="eastAsia" w:ascii="宋体" w:hAnsi="宋体" w:eastAsia="宋体" w:cs="宋体"/>
          <w:color w:val="auto"/>
          <w:sz w:val="24"/>
          <w:szCs w:val="24"/>
          <w:highlight w:val="none"/>
        </w:rPr>
        <w:t>；</w:t>
      </w:r>
    </w:p>
    <w:p w14:paraId="4AA045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供应商应当具有良好的商业与社会信誉，未被列入“信用中国”网站（www.creditchina.gov.cn）的“失信被执行人”及“重大税收违法失信主体”名单。</w:t>
      </w:r>
    </w:p>
    <w:p w14:paraId="40FFE1C8">
      <w:pPr>
        <w:jc w:val="center"/>
        <w:rPr>
          <w:rFonts w:hint="eastAsia" w:ascii="宋体" w:hAnsi="宋体" w:eastAsia="宋体" w:cs="宋体"/>
          <w:color w:val="auto"/>
          <w:sz w:val="24"/>
          <w:szCs w:val="24"/>
          <w:highlight w:val="none"/>
        </w:rPr>
      </w:pPr>
    </w:p>
    <w:p w14:paraId="1B14CC01">
      <w:pPr>
        <w:pStyle w:val="10"/>
        <w:spacing w:after="0" w:line="360" w:lineRule="auto"/>
        <w:jc w:val="center"/>
        <w:rPr>
          <w:rFonts w:hint="eastAsia" w:ascii="宋体" w:hAnsi="宋体" w:eastAsia="宋体" w:cs="宋体"/>
          <w:color w:val="auto"/>
          <w:sz w:val="24"/>
          <w:szCs w:val="24"/>
          <w:highlight w:val="none"/>
        </w:rPr>
      </w:pPr>
    </w:p>
    <w:p w14:paraId="530EB9C9">
      <w:pPr>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b/>
          <w:color w:val="auto"/>
          <w:sz w:val="30"/>
          <w:szCs w:val="30"/>
          <w:highlight w:val="none"/>
        </w:rPr>
      </w:pPr>
      <w:r>
        <w:rPr>
          <w:rFonts w:hint="eastAsia" w:ascii="宋体" w:hAnsi="宋体" w:eastAsia="宋体" w:cs="宋体"/>
          <w:color w:val="auto"/>
          <w:sz w:val="24"/>
          <w:szCs w:val="24"/>
          <w:highlight w:val="none"/>
        </w:rPr>
        <w:br w:type="page"/>
      </w:r>
      <w:bookmarkEnd w:id="183"/>
      <w:bookmarkEnd w:id="184"/>
      <w:bookmarkEnd w:id="185"/>
      <w:bookmarkStart w:id="186" w:name="_Toc27706"/>
      <w:bookmarkStart w:id="187" w:name="_Toc15739"/>
      <w:bookmarkStart w:id="188" w:name="_Toc19231"/>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rPr>
        <w:t>）廉政承诺书</w:t>
      </w:r>
      <w:bookmarkEnd w:id="176"/>
      <w:bookmarkEnd w:id="177"/>
      <w:bookmarkEnd w:id="186"/>
      <w:bookmarkEnd w:id="187"/>
      <w:bookmarkEnd w:id="188"/>
    </w:p>
    <w:p w14:paraId="1F2F3F9A">
      <w:pPr>
        <w:widowControl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项目的询价响应，现作如下承诺：</w:t>
      </w:r>
    </w:p>
    <w:p w14:paraId="72AFDAAF">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1、所提供的一切材料都是合法、真实、有效的。</w:t>
      </w:r>
    </w:p>
    <w:p w14:paraId="69057E61">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2、不与其他申请人串通投标、围标，依法、依规公平竞争，不损害采购人或其他申请人的合法权益。</w:t>
      </w:r>
    </w:p>
    <w:p w14:paraId="7225D6E9">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3、不转让、出租、出借资质证书、人员岗位证书，不以法律、法规禁止的方式投标。</w:t>
      </w:r>
    </w:p>
    <w:p w14:paraId="57E69100">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4、不与采购人串通投标，不损害国家利益、社会公共利益或其他当事人的合法权益。</w:t>
      </w:r>
    </w:p>
    <w:p w14:paraId="3B17B302">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5、不向采购人、询价小组成员、监督人员行贿。</w:t>
      </w:r>
    </w:p>
    <w:p w14:paraId="7CFAD97A">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6、不扰乱采购人正常工作办公秩序。</w:t>
      </w:r>
    </w:p>
    <w:p w14:paraId="439FD397">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7、不进行虚假恶意投诉。</w:t>
      </w:r>
    </w:p>
    <w:p w14:paraId="191F9886">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8、因违反法律、法规或相关规定被查处的，不干预案件查处。</w:t>
      </w:r>
    </w:p>
    <w:p w14:paraId="70C9ED2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如出现违法、违规或不良行为，自愿接受监督管理部门、纪检监察部门或司法机关的调查处理。违法、违规或不良行为事实成立的，自愿承担相关责任，给采购人造成损失的，依法承担赔偿责任。</w:t>
      </w:r>
    </w:p>
    <w:p w14:paraId="6DE31C40">
      <w:pPr>
        <w:wordWrap w:val="0"/>
        <w:spacing w:line="520" w:lineRule="exact"/>
        <w:jc w:val="right"/>
        <w:rPr>
          <w:rFonts w:hint="eastAsia" w:ascii="宋体" w:hAnsi="宋体" w:eastAsia="宋体" w:cs="宋体"/>
          <w:color w:val="auto"/>
          <w:sz w:val="24"/>
          <w:szCs w:val="24"/>
          <w:highlight w:val="none"/>
        </w:rPr>
      </w:pPr>
    </w:p>
    <w:p w14:paraId="08F4450F">
      <w:pPr>
        <w:rPr>
          <w:rFonts w:hint="eastAsia" w:ascii="宋体" w:hAnsi="宋体" w:eastAsia="宋体" w:cs="宋体"/>
          <w:color w:val="auto"/>
          <w:highlight w:val="none"/>
        </w:rPr>
      </w:pPr>
    </w:p>
    <w:p w14:paraId="616BEB6E">
      <w:pPr>
        <w:wordWrap w:val="0"/>
        <w:spacing w:line="520" w:lineRule="exact"/>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申请人（盖公章）：</w:t>
      </w:r>
      <w:r>
        <w:rPr>
          <w:rFonts w:hint="eastAsia" w:ascii="宋体" w:hAnsi="宋体" w:eastAsia="宋体" w:cs="宋体"/>
          <w:color w:val="auto"/>
          <w:sz w:val="24"/>
          <w:szCs w:val="24"/>
          <w:highlight w:val="none"/>
          <w:u w:val="single"/>
        </w:rPr>
        <w:t xml:space="preserve">                                             </w:t>
      </w:r>
    </w:p>
    <w:p w14:paraId="62AD6C39">
      <w:pPr>
        <w:wordWrap w:val="0"/>
        <w:spacing w:line="520" w:lineRule="exact"/>
        <w:jc w:val="right"/>
        <w:rPr>
          <w:rFonts w:hint="eastAsia" w:ascii="宋体" w:hAnsi="宋体" w:eastAsia="宋体" w:cs="宋体"/>
          <w:color w:val="auto"/>
          <w:sz w:val="24"/>
          <w:szCs w:val="24"/>
          <w:highlight w:val="none"/>
        </w:rPr>
      </w:pPr>
    </w:p>
    <w:p w14:paraId="019A1C86">
      <w:pPr>
        <w:wordWrap w:val="0"/>
        <w:spacing w:line="520" w:lineRule="exact"/>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法定代表人（合伙人）或委托代理人（签字或签章）：</w:t>
      </w:r>
      <w:r>
        <w:rPr>
          <w:rFonts w:hint="eastAsia" w:ascii="宋体" w:hAnsi="宋体" w:eastAsia="宋体" w:cs="宋体"/>
          <w:color w:val="auto"/>
          <w:sz w:val="24"/>
          <w:szCs w:val="24"/>
          <w:highlight w:val="none"/>
          <w:u w:val="single"/>
        </w:rPr>
        <w:t xml:space="preserve">                        </w:t>
      </w:r>
    </w:p>
    <w:p w14:paraId="3521A264">
      <w:pPr>
        <w:wordWrap w:val="0"/>
        <w:spacing w:line="520" w:lineRule="exact"/>
        <w:jc w:val="right"/>
        <w:rPr>
          <w:rFonts w:hint="eastAsia" w:ascii="宋体" w:hAnsi="宋体" w:eastAsia="宋体" w:cs="宋体"/>
          <w:color w:val="auto"/>
          <w:sz w:val="24"/>
          <w:szCs w:val="24"/>
          <w:highlight w:val="none"/>
        </w:rPr>
      </w:pPr>
    </w:p>
    <w:p w14:paraId="20F68EC1">
      <w:pPr>
        <w:wordWrap w:val="0"/>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A18EBAD">
      <w:pPr>
        <w:spacing w:line="520" w:lineRule="exact"/>
        <w:rPr>
          <w:rFonts w:hint="eastAsia" w:ascii="宋体" w:hAnsi="宋体" w:eastAsia="宋体" w:cs="宋体"/>
          <w:color w:val="auto"/>
          <w:highlight w:val="none"/>
        </w:rPr>
      </w:pPr>
    </w:p>
    <w:p w14:paraId="1833C073">
      <w:pPr>
        <w:spacing w:line="520" w:lineRule="exact"/>
        <w:rPr>
          <w:rFonts w:hint="eastAsia" w:ascii="宋体" w:hAnsi="宋体" w:eastAsia="宋体" w:cs="宋体"/>
          <w:color w:val="auto"/>
          <w:highlight w:val="none"/>
        </w:rPr>
      </w:pPr>
    </w:p>
    <w:p w14:paraId="41ABB568">
      <w:pPr>
        <w:spacing w:line="520" w:lineRule="exact"/>
        <w:rPr>
          <w:rFonts w:hint="eastAsia" w:ascii="宋体" w:hAnsi="宋体" w:eastAsia="宋体" w:cs="宋体"/>
          <w:color w:val="auto"/>
          <w:highlight w:val="none"/>
        </w:rPr>
      </w:pPr>
    </w:p>
    <w:p w14:paraId="23BAD556">
      <w:pPr>
        <w:pStyle w:val="3"/>
        <w:keepNext w:val="0"/>
        <w:widowControl w:val="0"/>
        <w:spacing w:before="0" w:after="0" w:line="520" w:lineRule="exact"/>
        <w:jc w:val="center"/>
        <w:rPr>
          <w:rFonts w:hint="eastAsia" w:ascii="宋体" w:hAnsi="宋体" w:eastAsia="宋体" w:cs="宋体"/>
          <w:b/>
          <w:bCs w:val="0"/>
          <w:color w:val="auto"/>
          <w:sz w:val="30"/>
          <w:szCs w:val="30"/>
          <w:highlight w:val="none"/>
        </w:rPr>
      </w:pPr>
      <w:bookmarkStart w:id="189" w:name="_Toc28696"/>
      <w:bookmarkStart w:id="190" w:name="_Toc432792980"/>
      <w:bookmarkStart w:id="191" w:name="_Toc29459"/>
      <w:bookmarkStart w:id="192" w:name="_Toc24194"/>
      <w:r>
        <w:rPr>
          <w:rFonts w:hint="eastAsia" w:ascii="宋体" w:hAnsi="宋体" w:eastAsia="宋体" w:cs="宋体"/>
          <w:b w:val="0"/>
          <w:color w:val="auto"/>
          <w:sz w:val="30"/>
          <w:szCs w:val="30"/>
          <w:highlight w:val="none"/>
        </w:rPr>
        <w:br w:type="page"/>
      </w:r>
      <w:bookmarkStart w:id="193" w:name="_Toc28873"/>
      <w:r>
        <w:rPr>
          <w:rFonts w:hint="eastAsia" w:ascii="宋体" w:hAnsi="宋体" w:eastAsia="宋体" w:cs="宋体"/>
          <w:b/>
          <w:bCs w:val="0"/>
          <w:color w:val="auto"/>
          <w:sz w:val="30"/>
          <w:szCs w:val="30"/>
          <w:highlight w:val="none"/>
        </w:rPr>
        <w:t>（</w:t>
      </w:r>
      <w:r>
        <w:rPr>
          <w:rFonts w:hint="eastAsia" w:ascii="宋体" w:hAnsi="宋体" w:eastAsia="宋体" w:cs="宋体"/>
          <w:b/>
          <w:bCs w:val="0"/>
          <w:color w:val="auto"/>
          <w:sz w:val="30"/>
          <w:szCs w:val="30"/>
          <w:highlight w:val="none"/>
          <w:lang w:val="en-US" w:eastAsia="zh-CN"/>
        </w:rPr>
        <w:t>九</w:t>
      </w:r>
      <w:r>
        <w:rPr>
          <w:rFonts w:hint="eastAsia" w:ascii="宋体" w:hAnsi="宋体" w:eastAsia="宋体" w:cs="宋体"/>
          <w:b/>
          <w:bCs w:val="0"/>
          <w:color w:val="auto"/>
          <w:sz w:val="30"/>
          <w:szCs w:val="30"/>
          <w:highlight w:val="none"/>
        </w:rPr>
        <w:t>）法定代表人（合伙人）身份证明</w:t>
      </w:r>
      <w:bookmarkEnd w:id="189"/>
      <w:bookmarkEnd w:id="190"/>
      <w:bookmarkEnd w:id="191"/>
      <w:bookmarkEnd w:id="192"/>
      <w:bookmarkEnd w:id="193"/>
    </w:p>
    <w:p w14:paraId="2655CC73">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0B2394AA">
      <w:pPr>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0DFE0038">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27CC3E11">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9B3272A">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2726EDC9">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1451603A">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45100A70">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（单位名称）的法定代表人（合伙人）。</w:t>
      </w:r>
    </w:p>
    <w:p w14:paraId="18F2DEE9">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5A8194B">
      <w:pPr>
        <w:spacing w:line="520" w:lineRule="exact"/>
        <w:rPr>
          <w:rFonts w:hint="eastAsia" w:ascii="宋体" w:hAnsi="宋体" w:eastAsia="宋体" w:cs="宋体"/>
          <w:color w:val="auto"/>
          <w:sz w:val="24"/>
          <w:szCs w:val="24"/>
          <w:highlight w:val="none"/>
        </w:rPr>
      </w:pPr>
    </w:p>
    <w:p w14:paraId="3CE16E10">
      <w:pPr>
        <w:spacing w:line="520" w:lineRule="exact"/>
        <w:rPr>
          <w:rFonts w:hint="eastAsia" w:ascii="宋体" w:hAnsi="宋体" w:eastAsia="宋体" w:cs="宋体"/>
          <w:color w:val="auto"/>
          <w:sz w:val="24"/>
          <w:szCs w:val="24"/>
          <w:highlight w:val="none"/>
        </w:rPr>
      </w:pPr>
    </w:p>
    <w:p w14:paraId="340DA177">
      <w:pPr>
        <w:spacing w:line="520" w:lineRule="exact"/>
        <w:rPr>
          <w:rFonts w:hint="eastAsia" w:ascii="宋体" w:hAnsi="宋体" w:eastAsia="宋体" w:cs="宋体"/>
          <w:color w:val="auto"/>
          <w:sz w:val="24"/>
          <w:szCs w:val="24"/>
          <w:highlight w:val="none"/>
        </w:rPr>
      </w:pPr>
    </w:p>
    <w:p w14:paraId="082FEEDE">
      <w:pPr>
        <w:spacing w:line="520" w:lineRule="exact"/>
        <w:rPr>
          <w:rFonts w:hint="eastAsia" w:ascii="宋体" w:hAnsi="宋体" w:eastAsia="宋体" w:cs="宋体"/>
          <w:color w:val="auto"/>
          <w:sz w:val="24"/>
          <w:szCs w:val="24"/>
          <w:highlight w:val="none"/>
        </w:rPr>
      </w:pPr>
    </w:p>
    <w:p w14:paraId="3A7AD8F2">
      <w:pPr>
        <w:spacing w:line="520" w:lineRule="exact"/>
        <w:rPr>
          <w:rFonts w:hint="eastAsia" w:ascii="宋体" w:hAnsi="宋体" w:eastAsia="宋体" w:cs="宋体"/>
          <w:color w:val="auto"/>
          <w:sz w:val="24"/>
          <w:szCs w:val="24"/>
          <w:highlight w:val="none"/>
        </w:rPr>
      </w:pPr>
    </w:p>
    <w:p w14:paraId="2CD3952A">
      <w:pPr>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135DAF5C">
      <w:pPr>
        <w:spacing w:line="520" w:lineRule="exact"/>
        <w:jc w:val="right"/>
        <w:rPr>
          <w:rFonts w:hint="eastAsia" w:ascii="宋体" w:hAnsi="宋体" w:eastAsia="宋体" w:cs="宋体"/>
          <w:color w:val="auto"/>
          <w:sz w:val="24"/>
          <w:szCs w:val="24"/>
          <w:highlight w:val="none"/>
        </w:rPr>
      </w:pPr>
    </w:p>
    <w:p w14:paraId="611E0764">
      <w:pPr>
        <w:wordWrap w:val="0"/>
        <w:spacing w:line="52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4CF03061">
      <w:pPr>
        <w:spacing w:line="520" w:lineRule="exact"/>
        <w:jc w:val="right"/>
        <w:rPr>
          <w:rFonts w:hint="eastAsia" w:ascii="宋体" w:hAnsi="宋体" w:eastAsia="宋体" w:cs="宋体"/>
          <w:color w:val="auto"/>
          <w:sz w:val="21"/>
          <w:szCs w:val="21"/>
          <w:highlight w:val="none"/>
        </w:rPr>
      </w:pPr>
    </w:p>
    <w:p w14:paraId="681F2E3F">
      <w:pPr>
        <w:spacing w:line="520" w:lineRule="exact"/>
        <w:jc w:val="right"/>
        <w:rPr>
          <w:rFonts w:hint="eastAsia" w:ascii="宋体" w:hAnsi="宋体" w:eastAsia="宋体" w:cs="宋体"/>
          <w:color w:val="auto"/>
          <w:sz w:val="21"/>
          <w:szCs w:val="21"/>
          <w:highlight w:val="none"/>
        </w:rPr>
      </w:pPr>
    </w:p>
    <w:p w14:paraId="1BC31320">
      <w:pPr>
        <w:spacing w:line="5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注：附法定代表人（合伙人）身份证复印件。</w:t>
      </w:r>
    </w:p>
    <w:p w14:paraId="17F31FEB">
      <w:pPr>
        <w:pStyle w:val="3"/>
        <w:keepNext w:val="0"/>
        <w:widowControl w:val="0"/>
        <w:spacing w:before="0" w:after="0" w:line="520" w:lineRule="exact"/>
        <w:jc w:val="center"/>
        <w:rPr>
          <w:rFonts w:hint="eastAsia" w:ascii="宋体" w:hAnsi="宋体" w:eastAsia="宋体" w:cs="宋体"/>
          <w:b/>
          <w:bCs w:val="0"/>
          <w:color w:val="auto"/>
          <w:sz w:val="30"/>
          <w:szCs w:val="30"/>
          <w:highlight w:val="none"/>
        </w:rPr>
      </w:pPr>
      <w:bookmarkStart w:id="194" w:name="_Toc432792981"/>
      <w:bookmarkStart w:id="195" w:name="_Toc16113"/>
      <w:bookmarkStart w:id="196" w:name="_Toc19788"/>
      <w:bookmarkStart w:id="197" w:name="_Toc30416"/>
      <w:r>
        <w:rPr>
          <w:rFonts w:hint="eastAsia" w:ascii="宋体" w:hAnsi="宋体" w:eastAsia="宋体" w:cs="宋体"/>
          <w:b w:val="0"/>
          <w:color w:val="auto"/>
          <w:sz w:val="30"/>
          <w:szCs w:val="30"/>
          <w:highlight w:val="none"/>
        </w:rPr>
        <w:br w:type="page"/>
      </w:r>
      <w:bookmarkStart w:id="198" w:name="_Toc20510"/>
      <w:r>
        <w:rPr>
          <w:rFonts w:hint="eastAsia" w:ascii="宋体" w:hAnsi="宋体" w:eastAsia="宋体" w:cs="宋体"/>
          <w:b/>
          <w:bCs w:val="0"/>
          <w:color w:val="auto"/>
          <w:sz w:val="30"/>
          <w:szCs w:val="30"/>
          <w:highlight w:val="none"/>
        </w:rPr>
        <w:t>（</w:t>
      </w:r>
      <w:r>
        <w:rPr>
          <w:rFonts w:hint="eastAsia" w:ascii="宋体" w:hAnsi="宋体" w:eastAsia="宋体" w:cs="宋体"/>
          <w:b/>
          <w:bCs w:val="0"/>
          <w:color w:val="auto"/>
          <w:sz w:val="30"/>
          <w:szCs w:val="30"/>
          <w:highlight w:val="none"/>
          <w:lang w:val="en-US" w:eastAsia="zh-CN"/>
        </w:rPr>
        <w:t>十</w:t>
      </w:r>
      <w:r>
        <w:rPr>
          <w:rFonts w:hint="eastAsia" w:ascii="宋体" w:hAnsi="宋体" w:eastAsia="宋体" w:cs="宋体"/>
          <w:b/>
          <w:bCs w:val="0"/>
          <w:color w:val="auto"/>
          <w:sz w:val="30"/>
          <w:szCs w:val="30"/>
          <w:highlight w:val="none"/>
        </w:rPr>
        <w:t>）授权委托书</w:t>
      </w:r>
      <w:bookmarkEnd w:id="194"/>
      <w:bookmarkEnd w:id="195"/>
      <w:bookmarkEnd w:id="196"/>
      <w:bookmarkEnd w:id="197"/>
      <w:bookmarkEnd w:id="198"/>
    </w:p>
    <w:p w14:paraId="3D35A5E6">
      <w:pPr>
        <w:widowControl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（单位名称）的法定代表人（合伙人），现委托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的询价响应文件，处理有关事宜，其法律后果由我方承担。</w:t>
      </w:r>
    </w:p>
    <w:p w14:paraId="121F035D">
      <w:pPr>
        <w:spacing w:line="520" w:lineRule="exact"/>
        <w:ind w:firstLine="480" w:firstLineChars="200"/>
        <w:rPr>
          <w:rFonts w:hint="eastAsia" w:ascii="宋体" w:hAnsi="宋体" w:eastAsia="宋体" w:cs="宋体"/>
          <w:color w:val="auto"/>
          <w:sz w:val="24"/>
          <w:szCs w:val="24"/>
          <w:highlight w:val="none"/>
        </w:rPr>
      </w:pPr>
    </w:p>
    <w:p w14:paraId="08C0C8B8">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0DD2445">
      <w:pPr>
        <w:spacing w:line="520" w:lineRule="exact"/>
        <w:rPr>
          <w:rFonts w:hint="eastAsia" w:ascii="宋体" w:hAnsi="宋体" w:eastAsia="宋体" w:cs="宋体"/>
          <w:color w:val="auto"/>
          <w:sz w:val="24"/>
          <w:szCs w:val="24"/>
          <w:highlight w:val="none"/>
        </w:rPr>
      </w:pPr>
    </w:p>
    <w:p w14:paraId="0DD7409C">
      <w:pPr>
        <w:wordWrap w:val="0"/>
        <w:spacing w:line="52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75DABF81">
      <w:pPr>
        <w:wordWrap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99" w:name="_Toc29175"/>
      <w:r>
        <w:rPr>
          <w:rFonts w:hint="eastAsia" w:ascii="宋体" w:hAnsi="宋体" w:eastAsia="宋体" w:cs="宋体"/>
          <w:color w:val="auto"/>
          <w:sz w:val="24"/>
          <w:szCs w:val="24"/>
          <w:highlight w:val="none"/>
        </w:rPr>
        <w:t>法定代表人（合伙人）：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bookmarkEnd w:id="199"/>
    </w:p>
    <w:p w14:paraId="19F9368F">
      <w:pPr>
        <w:wordWrap w:val="0"/>
        <w:spacing w:line="520" w:lineRule="exact"/>
        <w:ind w:right="44" w:firstLine="4320" w:firstLineChars="18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DDC4572">
      <w:pPr>
        <w:pStyle w:val="39"/>
        <w:spacing w:after="0" w:line="520" w:lineRule="exact"/>
        <w:ind w:left="400" w:firstLine="480"/>
        <w:rPr>
          <w:rFonts w:hint="eastAsia" w:ascii="宋体" w:hAnsi="宋体" w:eastAsia="宋体" w:cs="宋体"/>
          <w:color w:val="auto"/>
          <w:sz w:val="24"/>
          <w:highlight w:val="none"/>
        </w:rPr>
      </w:pPr>
    </w:p>
    <w:p w14:paraId="4C830CCC">
      <w:pPr>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93C60B9">
      <w:pPr>
        <w:tabs>
          <w:tab w:val="left" w:pos="8460"/>
        </w:tabs>
        <w:wordWrap w:val="0"/>
        <w:spacing w:line="520" w:lineRule="exact"/>
        <w:ind w:right="45"/>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bookmarkStart w:id="200" w:name="_Toc11026"/>
      <w:r>
        <w:rPr>
          <w:rFonts w:hint="eastAsia" w:ascii="宋体" w:hAnsi="宋体" w:eastAsia="宋体" w:cs="宋体"/>
          <w:color w:val="auto"/>
          <w:sz w:val="24"/>
          <w:szCs w:val="24"/>
          <w:highlight w:val="none"/>
        </w:rPr>
        <w:t>身份证号码：</w:t>
      </w:r>
      <w:bookmarkEnd w:id="200"/>
      <w:r>
        <w:rPr>
          <w:rFonts w:hint="eastAsia" w:ascii="宋体" w:hAnsi="宋体" w:eastAsia="宋体" w:cs="宋体"/>
          <w:color w:val="auto"/>
          <w:sz w:val="24"/>
          <w:szCs w:val="24"/>
          <w:highlight w:val="none"/>
          <w:u w:val="single"/>
        </w:rPr>
        <w:t xml:space="preserve">                              </w:t>
      </w:r>
    </w:p>
    <w:p w14:paraId="66E1617A">
      <w:pPr>
        <w:pStyle w:val="39"/>
        <w:spacing w:after="0" w:line="520" w:lineRule="exact"/>
        <w:ind w:left="400" w:firstLine="480"/>
        <w:rPr>
          <w:rFonts w:hint="eastAsia" w:ascii="宋体" w:hAnsi="宋体" w:eastAsia="宋体" w:cs="宋体"/>
          <w:color w:val="auto"/>
          <w:sz w:val="24"/>
          <w:highlight w:val="none"/>
        </w:rPr>
      </w:pPr>
    </w:p>
    <w:p w14:paraId="233B9A80">
      <w:pPr>
        <w:spacing w:line="520" w:lineRule="exact"/>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F41C334">
      <w:pPr>
        <w:spacing w:line="520" w:lineRule="exact"/>
        <w:ind w:right="420" w:firstLine="5400" w:firstLineChars="2250"/>
        <w:rPr>
          <w:rFonts w:hint="eastAsia" w:ascii="宋体" w:hAnsi="宋体" w:eastAsia="宋体" w:cs="宋体"/>
          <w:color w:val="auto"/>
          <w:sz w:val="24"/>
          <w:szCs w:val="24"/>
          <w:highlight w:val="none"/>
        </w:rPr>
      </w:pPr>
    </w:p>
    <w:p w14:paraId="18C1FC36">
      <w:pPr>
        <w:spacing w:line="520" w:lineRule="exact"/>
        <w:ind w:right="420" w:firstLine="5400" w:firstLineChars="2250"/>
        <w:rPr>
          <w:rFonts w:hint="eastAsia" w:ascii="宋体" w:hAnsi="宋体" w:eastAsia="宋体" w:cs="宋体"/>
          <w:color w:val="auto"/>
          <w:sz w:val="24"/>
          <w:szCs w:val="24"/>
          <w:highlight w:val="none"/>
        </w:rPr>
      </w:pPr>
    </w:p>
    <w:p w14:paraId="695671A2">
      <w:pPr>
        <w:spacing w:line="360" w:lineRule="auto"/>
        <w:ind w:right="420"/>
        <w:jc w:val="both"/>
        <w:rPr>
          <w:rFonts w:hint="eastAsia" w:ascii="宋体" w:hAnsi="宋体" w:eastAsia="宋体" w:cs="宋体"/>
          <w:b/>
          <w:color w:val="auto"/>
          <w:sz w:val="24"/>
          <w:szCs w:val="24"/>
          <w:highlight w:val="none"/>
        </w:rPr>
      </w:pPr>
      <w:bookmarkStart w:id="201" w:name="_Toc13979"/>
      <w:r>
        <w:rPr>
          <w:rFonts w:hint="eastAsia" w:ascii="宋体" w:hAnsi="宋体" w:eastAsia="宋体" w:cs="宋体"/>
          <w:b/>
          <w:color w:val="auto"/>
          <w:sz w:val="24"/>
          <w:szCs w:val="24"/>
          <w:highlight w:val="none"/>
        </w:rPr>
        <w:t>注：1、附授权委托人身份证复印件；</w:t>
      </w:r>
      <w:bookmarkEnd w:id="201"/>
    </w:p>
    <w:p w14:paraId="765CA1D8">
      <w:pPr>
        <w:spacing w:line="360" w:lineRule="auto"/>
        <w:ind w:right="420"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2、如申请人由法定代表人（合伙人）亲自签署响应文件并参与相关活动，则不需要办理授权。如有被授权的代理人签署上述文件，则必须按本格式规定填报并提交授权书，否则被授权的代理人将不被认可。</w:t>
      </w:r>
    </w:p>
    <w:p w14:paraId="72075646">
      <w:pPr>
        <w:spacing w:line="360" w:lineRule="auto"/>
        <w:ind w:right="420"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3、本授权委托书配合法定代表人（合伙人）身份证明书使用方可生效。</w:t>
      </w:r>
    </w:p>
    <w:p w14:paraId="62D5E5E1">
      <w:pPr>
        <w:spacing w:line="520" w:lineRule="exact"/>
        <w:ind w:firstLine="420" w:firstLineChars="200"/>
        <w:rPr>
          <w:rFonts w:hint="eastAsia" w:ascii="宋体" w:hAnsi="宋体" w:eastAsia="宋体" w:cs="宋体"/>
          <w:color w:val="auto"/>
          <w:sz w:val="21"/>
          <w:szCs w:val="21"/>
          <w:highlight w:val="none"/>
        </w:rPr>
      </w:pPr>
    </w:p>
    <w:p w14:paraId="2FD25B93">
      <w:pPr>
        <w:spacing w:line="520" w:lineRule="exact"/>
        <w:rPr>
          <w:rFonts w:hint="eastAsia" w:ascii="宋体" w:hAnsi="宋体" w:eastAsia="宋体" w:cs="宋体"/>
          <w:color w:val="auto"/>
          <w:sz w:val="21"/>
          <w:szCs w:val="21"/>
          <w:highlight w:val="none"/>
        </w:rPr>
      </w:pPr>
    </w:p>
    <w:p w14:paraId="4692EA9F">
      <w:pPr>
        <w:rPr>
          <w:rFonts w:hint="eastAsia" w:ascii="宋体" w:hAnsi="宋体" w:eastAsia="宋体" w:cs="宋体"/>
          <w:b/>
          <w:bCs w:val="0"/>
          <w:color w:val="auto"/>
          <w:sz w:val="30"/>
          <w:szCs w:val="30"/>
          <w:highlight w:val="none"/>
          <w:lang w:val="en-US" w:eastAsia="zh-CN" w:bidi="ar-SA"/>
        </w:rPr>
      </w:pPr>
      <w:bookmarkStart w:id="202" w:name="_Toc17387"/>
      <w:bookmarkStart w:id="203" w:name="_Toc432792983"/>
      <w:bookmarkStart w:id="204" w:name="_Toc24729"/>
      <w:bookmarkStart w:id="205" w:name="_Toc10983"/>
      <w:r>
        <w:rPr>
          <w:rFonts w:hint="eastAsia" w:ascii="宋体" w:hAnsi="宋体" w:eastAsia="宋体" w:cs="宋体"/>
          <w:b/>
          <w:bCs w:val="0"/>
          <w:color w:val="auto"/>
          <w:sz w:val="30"/>
          <w:szCs w:val="30"/>
          <w:highlight w:val="none"/>
          <w:lang w:val="en-US" w:eastAsia="zh-CN" w:bidi="ar-SA"/>
        </w:rPr>
        <w:br w:type="page"/>
      </w:r>
    </w:p>
    <w:p w14:paraId="1926F432">
      <w:pPr>
        <w:pStyle w:val="3"/>
        <w:keepNext w:val="0"/>
        <w:widowControl w:val="0"/>
        <w:spacing w:before="0" w:after="0" w:line="520" w:lineRule="exact"/>
        <w:jc w:val="center"/>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（十一）</w:t>
      </w:r>
      <w:bookmarkStart w:id="206" w:name="_Toc13327"/>
      <w:r>
        <w:rPr>
          <w:rFonts w:hint="eastAsia" w:ascii="宋体" w:hAnsi="宋体" w:eastAsia="宋体" w:cs="宋体"/>
          <w:b/>
          <w:bCs w:val="0"/>
          <w:color w:val="auto"/>
          <w:sz w:val="30"/>
          <w:szCs w:val="30"/>
          <w:highlight w:val="none"/>
          <w:lang w:val="en-US" w:eastAsia="zh-CN"/>
        </w:rPr>
        <w:t>报价一览表</w:t>
      </w:r>
      <w:bookmarkEnd w:id="202"/>
      <w:bookmarkEnd w:id="203"/>
      <w:bookmarkEnd w:id="204"/>
      <w:bookmarkEnd w:id="205"/>
      <w:bookmarkEnd w:id="206"/>
    </w:p>
    <w:p w14:paraId="24C8BB0B">
      <w:pPr>
        <w:numPr>
          <w:ilvl w:val="0"/>
          <w:numId w:val="0"/>
        </w:numPr>
        <w:rPr>
          <w:rFonts w:hint="default" w:eastAsia="宋体"/>
          <w:color w:val="auto"/>
          <w:highlight w:val="none"/>
          <w:lang w:val="en-US" w:eastAsia="zh-CN"/>
        </w:rPr>
      </w:pPr>
      <w:r>
        <w:rPr>
          <w:rFonts w:hint="eastAsia"/>
          <w:color w:val="auto"/>
          <w:sz w:val="28"/>
          <w:szCs w:val="28"/>
          <w:highlight w:val="none"/>
          <w:lang w:val="en-US" w:eastAsia="zh-CN"/>
        </w:rPr>
        <w:t>附11.1：</w:t>
      </w:r>
    </w:p>
    <w:p w14:paraId="32A68D45">
      <w:pPr>
        <w:rPr>
          <w:rFonts w:hint="eastAsia" w:ascii="宋体" w:hAnsi="宋体" w:eastAsia="宋体" w:cs="宋体"/>
          <w:color w:val="auto"/>
          <w:highlight w:val="none"/>
        </w:rPr>
      </w:pPr>
    </w:p>
    <w:tbl>
      <w:tblPr>
        <w:tblStyle w:val="25"/>
        <w:tblW w:w="8792" w:type="dxa"/>
        <w:jc w:val="center"/>
        <w:tblLayout w:type="fixed"/>
        <w:tblCellMar>
          <w:top w:w="0" w:type="dxa"/>
          <w:left w:w="108" w:type="dxa"/>
          <w:bottom w:w="0" w:type="dxa"/>
          <w:right w:w="108" w:type="dxa"/>
        </w:tblCellMar>
      </w:tblPr>
      <w:tblGrid>
        <w:gridCol w:w="1206"/>
        <w:gridCol w:w="2201"/>
        <w:gridCol w:w="3647"/>
        <w:gridCol w:w="1738"/>
      </w:tblGrid>
      <w:tr w14:paraId="733307AD">
        <w:tblPrEx>
          <w:tblCellMar>
            <w:top w:w="0" w:type="dxa"/>
            <w:left w:w="108" w:type="dxa"/>
            <w:bottom w:w="0" w:type="dxa"/>
            <w:right w:w="108" w:type="dxa"/>
          </w:tblCellMar>
        </w:tblPrEx>
        <w:trPr>
          <w:trHeight w:val="617" w:hRule="atLeast"/>
          <w:jc w:val="center"/>
        </w:trPr>
        <w:tc>
          <w:tcPr>
            <w:tcW w:w="8792" w:type="dxa"/>
            <w:gridSpan w:val="4"/>
            <w:tcBorders>
              <w:top w:val="single" w:color="auto" w:sz="4" w:space="0"/>
              <w:left w:val="single" w:color="auto" w:sz="4" w:space="0"/>
              <w:bottom w:val="single" w:color="auto" w:sz="4" w:space="0"/>
              <w:right w:val="single" w:color="auto" w:sz="4" w:space="0"/>
            </w:tcBorders>
            <w:noWrap w:val="0"/>
            <w:vAlign w:val="center"/>
          </w:tcPr>
          <w:p w14:paraId="0BAE9DE8">
            <w:pPr>
              <w:spacing w:line="52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项目</w:t>
            </w:r>
          </w:p>
        </w:tc>
      </w:tr>
      <w:tr w14:paraId="37A57B4A">
        <w:tblPrEx>
          <w:tblCellMar>
            <w:top w:w="0" w:type="dxa"/>
            <w:left w:w="108" w:type="dxa"/>
            <w:bottom w:w="0" w:type="dxa"/>
            <w:right w:w="108" w:type="dxa"/>
          </w:tblCellMar>
        </w:tblPrEx>
        <w:trPr>
          <w:trHeight w:val="842"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14:paraId="493BA003">
            <w:pPr>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157D6FB2">
            <w:pPr>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3647" w:type="dxa"/>
            <w:tcBorders>
              <w:top w:val="single" w:color="auto" w:sz="4" w:space="0"/>
              <w:left w:val="single" w:color="auto" w:sz="4" w:space="0"/>
              <w:bottom w:val="single" w:color="auto" w:sz="4" w:space="0"/>
              <w:right w:val="single" w:color="auto" w:sz="4" w:space="0"/>
            </w:tcBorders>
            <w:noWrap w:val="0"/>
            <w:vAlign w:val="center"/>
          </w:tcPr>
          <w:p w14:paraId="17854725">
            <w:pPr>
              <w:spacing w:line="520" w:lineRule="exac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报价金额（元）</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602BC125">
            <w:pPr>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1D822F0">
        <w:tblPrEx>
          <w:tblCellMar>
            <w:top w:w="0" w:type="dxa"/>
            <w:left w:w="108" w:type="dxa"/>
            <w:bottom w:w="0" w:type="dxa"/>
            <w:right w:w="108" w:type="dxa"/>
          </w:tblCellMar>
        </w:tblPrEx>
        <w:trPr>
          <w:trHeight w:val="842"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14:paraId="6D512039">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45CFAC9D">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3647" w:type="dxa"/>
            <w:tcBorders>
              <w:top w:val="single" w:color="auto" w:sz="4" w:space="0"/>
              <w:left w:val="single" w:color="auto" w:sz="4" w:space="0"/>
              <w:bottom w:val="single" w:color="auto" w:sz="4" w:space="0"/>
              <w:right w:val="single" w:color="auto" w:sz="4" w:space="0"/>
            </w:tcBorders>
            <w:noWrap w:val="0"/>
            <w:vAlign w:val="center"/>
          </w:tcPr>
          <w:p w14:paraId="6530BE9A">
            <w:pPr>
              <w:spacing w:line="520" w:lineRule="exact"/>
              <w:jc w:val="center"/>
              <w:rPr>
                <w:rFonts w:hint="eastAsia" w:ascii="宋体" w:hAnsi="宋体" w:eastAsia="宋体" w:cs="宋体"/>
                <w:color w:val="auto"/>
                <w:sz w:val="24"/>
                <w:szCs w:val="24"/>
                <w:highlight w:val="none"/>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14:paraId="50D864CF">
            <w:pPr>
              <w:spacing w:line="520" w:lineRule="exact"/>
              <w:jc w:val="center"/>
              <w:rPr>
                <w:rFonts w:hint="eastAsia" w:ascii="宋体" w:hAnsi="宋体" w:eastAsia="宋体" w:cs="宋体"/>
                <w:color w:val="auto"/>
                <w:sz w:val="24"/>
                <w:szCs w:val="24"/>
                <w:highlight w:val="none"/>
              </w:rPr>
            </w:pPr>
          </w:p>
        </w:tc>
      </w:tr>
      <w:tr w14:paraId="44556CBB">
        <w:tblPrEx>
          <w:tblCellMar>
            <w:top w:w="0" w:type="dxa"/>
            <w:left w:w="108" w:type="dxa"/>
            <w:bottom w:w="0" w:type="dxa"/>
            <w:right w:w="108" w:type="dxa"/>
          </w:tblCellMar>
        </w:tblPrEx>
        <w:trPr>
          <w:trHeight w:val="842"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14:paraId="3D2DD72B">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5B8B5254">
            <w:pPr>
              <w:spacing w:line="5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position w:val="-6"/>
                <w:sz w:val="24"/>
                <w:szCs w:val="24"/>
                <w:highlight w:val="none"/>
                <w:lang w:eastAsia="zh-CN"/>
              </w:rPr>
              <w:t>服务周期</w:t>
            </w:r>
          </w:p>
        </w:tc>
        <w:tc>
          <w:tcPr>
            <w:tcW w:w="3647" w:type="dxa"/>
            <w:tcBorders>
              <w:top w:val="single" w:color="auto" w:sz="4" w:space="0"/>
              <w:left w:val="single" w:color="auto" w:sz="4" w:space="0"/>
              <w:bottom w:val="single" w:color="auto" w:sz="4" w:space="0"/>
              <w:right w:val="single" w:color="auto" w:sz="4" w:space="0"/>
            </w:tcBorders>
            <w:noWrap w:val="0"/>
            <w:vAlign w:val="center"/>
          </w:tcPr>
          <w:p w14:paraId="47A325C4">
            <w:pPr>
              <w:spacing w:line="520" w:lineRule="exact"/>
              <w:jc w:val="center"/>
              <w:rPr>
                <w:rFonts w:hint="eastAsia" w:ascii="宋体" w:hAnsi="宋体" w:eastAsia="宋体" w:cs="宋体"/>
                <w:color w:val="auto"/>
                <w:sz w:val="24"/>
                <w:szCs w:val="24"/>
                <w:highlight w:val="none"/>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14:paraId="520126EE">
            <w:pPr>
              <w:spacing w:line="520" w:lineRule="exact"/>
              <w:jc w:val="center"/>
              <w:rPr>
                <w:rFonts w:hint="eastAsia" w:ascii="宋体" w:hAnsi="宋体" w:eastAsia="宋体" w:cs="宋体"/>
                <w:color w:val="auto"/>
                <w:sz w:val="24"/>
                <w:szCs w:val="24"/>
                <w:highlight w:val="none"/>
              </w:rPr>
            </w:pPr>
          </w:p>
        </w:tc>
      </w:tr>
      <w:tr w14:paraId="02E1B959">
        <w:tblPrEx>
          <w:tblCellMar>
            <w:top w:w="0" w:type="dxa"/>
            <w:left w:w="108" w:type="dxa"/>
            <w:bottom w:w="0" w:type="dxa"/>
            <w:right w:w="108" w:type="dxa"/>
          </w:tblCellMar>
        </w:tblPrEx>
        <w:trPr>
          <w:trHeight w:val="842" w:hRule="atLeast"/>
          <w:jc w:val="center"/>
        </w:trPr>
        <w:tc>
          <w:tcPr>
            <w:tcW w:w="1206" w:type="dxa"/>
            <w:tcBorders>
              <w:top w:val="single" w:color="auto" w:sz="4" w:space="0"/>
              <w:left w:val="single" w:color="auto" w:sz="4" w:space="0"/>
              <w:bottom w:val="single" w:color="auto" w:sz="4" w:space="0"/>
              <w:right w:val="single" w:color="auto" w:sz="4" w:space="0"/>
            </w:tcBorders>
            <w:noWrap w:val="0"/>
            <w:vAlign w:val="center"/>
          </w:tcPr>
          <w:p w14:paraId="2F564AE1">
            <w:pPr>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3C4801EC">
            <w:pPr>
              <w:spacing w:line="520" w:lineRule="exact"/>
              <w:jc w:val="center"/>
              <w:rPr>
                <w:rFonts w:hint="eastAsia" w:ascii="宋体" w:hAnsi="宋体" w:eastAsia="宋体" w:cs="宋体"/>
                <w:color w:val="auto"/>
                <w:position w:val="-6"/>
                <w:sz w:val="24"/>
                <w:szCs w:val="24"/>
                <w:highlight w:val="none"/>
                <w:lang w:val="zh-CN"/>
              </w:rPr>
            </w:pPr>
            <w:r>
              <w:rPr>
                <w:rFonts w:hint="eastAsia" w:ascii="宋体" w:hAnsi="宋体" w:cs="宋体"/>
                <w:color w:val="auto"/>
                <w:position w:val="-6"/>
                <w:sz w:val="24"/>
                <w:szCs w:val="24"/>
                <w:highlight w:val="none"/>
                <w:lang w:val="zh-CN"/>
              </w:rPr>
              <w:t>项目质量要求</w:t>
            </w:r>
          </w:p>
        </w:tc>
        <w:tc>
          <w:tcPr>
            <w:tcW w:w="3647" w:type="dxa"/>
            <w:tcBorders>
              <w:top w:val="single" w:color="auto" w:sz="4" w:space="0"/>
              <w:left w:val="single" w:color="auto" w:sz="4" w:space="0"/>
              <w:bottom w:val="single" w:color="auto" w:sz="4" w:space="0"/>
              <w:right w:val="single" w:color="auto" w:sz="4" w:space="0"/>
            </w:tcBorders>
            <w:noWrap w:val="0"/>
            <w:vAlign w:val="center"/>
          </w:tcPr>
          <w:p w14:paraId="301FECE5">
            <w:pPr>
              <w:spacing w:line="520" w:lineRule="exact"/>
              <w:jc w:val="center"/>
              <w:rPr>
                <w:rFonts w:hint="eastAsia" w:ascii="宋体" w:hAnsi="宋体" w:eastAsia="宋体" w:cs="宋体"/>
                <w:color w:val="auto"/>
                <w:sz w:val="24"/>
                <w:szCs w:val="24"/>
                <w:highlight w:val="none"/>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14:paraId="30052FF6">
            <w:pPr>
              <w:spacing w:line="520" w:lineRule="exact"/>
              <w:jc w:val="center"/>
              <w:rPr>
                <w:rFonts w:hint="eastAsia" w:ascii="宋体" w:hAnsi="宋体" w:eastAsia="宋体" w:cs="宋体"/>
                <w:color w:val="auto"/>
                <w:sz w:val="24"/>
                <w:szCs w:val="24"/>
                <w:highlight w:val="none"/>
              </w:rPr>
            </w:pPr>
          </w:p>
        </w:tc>
      </w:tr>
    </w:tbl>
    <w:p w14:paraId="74B5EA59">
      <w:pPr>
        <w:pStyle w:val="18"/>
        <w:spacing w:line="520" w:lineRule="exact"/>
        <w:ind w:left="800"/>
        <w:rPr>
          <w:rFonts w:hint="eastAsia" w:ascii="宋体" w:hAnsi="宋体" w:eastAsia="宋体" w:cs="宋体"/>
          <w:color w:val="auto"/>
          <w:sz w:val="24"/>
          <w:szCs w:val="24"/>
          <w:highlight w:val="none"/>
        </w:rPr>
      </w:pPr>
    </w:p>
    <w:p w14:paraId="22F30A6A">
      <w:pPr>
        <w:pStyle w:val="18"/>
        <w:spacing w:line="520" w:lineRule="exact"/>
        <w:ind w:left="800"/>
        <w:rPr>
          <w:rFonts w:hint="eastAsia" w:ascii="宋体" w:hAnsi="宋体" w:eastAsia="宋体" w:cs="宋体"/>
          <w:color w:val="auto"/>
          <w:sz w:val="24"/>
          <w:szCs w:val="24"/>
          <w:highlight w:val="none"/>
        </w:rPr>
      </w:pPr>
    </w:p>
    <w:p w14:paraId="32D6516A">
      <w:pPr>
        <w:pStyle w:val="18"/>
        <w:spacing w:line="520" w:lineRule="exact"/>
        <w:ind w:left="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申请人（盖章）：</w:t>
      </w:r>
      <w:r>
        <w:rPr>
          <w:rFonts w:hint="eastAsia" w:ascii="宋体" w:hAnsi="宋体" w:eastAsia="宋体" w:cs="宋体"/>
          <w:color w:val="auto"/>
          <w:sz w:val="24"/>
          <w:szCs w:val="24"/>
          <w:highlight w:val="none"/>
          <w:u w:val="single"/>
        </w:rPr>
        <w:t xml:space="preserve">                              </w:t>
      </w:r>
    </w:p>
    <w:p w14:paraId="726C33AB">
      <w:pPr>
        <w:pStyle w:val="18"/>
        <w:spacing w:line="520" w:lineRule="exact"/>
        <w:ind w:left="800"/>
        <w:rPr>
          <w:rFonts w:hint="eastAsia" w:ascii="宋体" w:hAnsi="宋体" w:eastAsia="宋体" w:cs="宋体"/>
          <w:color w:val="auto"/>
          <w:sz w:val="24"/>
          <w:szCs w:val="24"/>
          <w:highlight w:val="none"/>
        </w:rPr>
      </w:pPr>
    </w:p>
    <w:p w14:paraId="63836EAA">
      <w:pPr>
        <w:pStyle w:val="18"/>
        <w:spacing w:line="520" w:lineRule="exact"/>
        <w:ind w:left="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法定代表人（合伙人）或委托代理人（签字或盖章）：</w:t>
      </w:r>
      <w:r>
        <w:rPr>
          <w:rFonts w:hint="eastAsia" w:ascii="宋体" w:hAnsi="宋体" w:eastAsia="宋体" w:cs="宋体"/>
          <w:color w:val="auto"/>
          <w:sz w:val="24"/>
          <w:szCs w:val="24"/>
          <w:highlight w:val="none"/>
          <w:u w:val="single"/>
        </w:rPr>
        <w:t xml:space="preserve">              </w:t>
      </w:r>
    </w:p>
    <w:p w14:paraId="1EAB65F5">
      <w:pPr>
        <w:pStyle w:val="18"/>
        <w:spacing w:line="520" w:lineRule="exact"/>
        <w:ind w:left="800"/>
        <w:rPr>
          <w:rFonts w:hint="eastAsia" w:ascii="宋体" w:hAnsi="宋体" w:eastAsia="宋体" w:cs="宋体"/>
          <w:color w:val="auto"/>
          <w:sz w:val="24"/>
          <w:szCs w:val="24"/>
          <w:highlight w:val="none"/>
        </w:rPr>
      </w:pPr>
    </w:p>
    <w:p w14:paraId="08141DF5">
      <w:pPr>
        <w:pStyle w:val="18"/>
        <w:spacing w:line="520" w:lineRule="exact"/>
        <w:ind w:left="800"/>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Start w:id="207" w:name="_Toc197938954"/>
      <w:bookmarkStart w:id="208" w:name="_Toc229583239"/>
    </w:p>
    <w:p w14:paraId="4551C9F4">
      <w:pPr>
        <w:spacing w:line="520" w:lineRule="exact"/>
        <w:ind w:firstLine="482" w:firstLineChars="200"/>
        <w:rPr>
          <w:rFonts w:hint="eastAsia" w:ascii="宋体" w:hAnsi="宋体" w:eastAsia="宋体" w:cs="宋体"/>
          <w:b/>
          <w:bCs/>
          <w:color w:val="auto"/>
          <w:sz w:val="24"/>
          <w:szCs w:val="24"/>
          <w:highlight w:val="none"/>
        </w:rPr>
      </w:pPr>
    </w:p>
    <w:p w14:paraId="1CA4065A">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6228DA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1、本报价的币种为人民币。</w:t>
      </w:r>
    </w:p>
    <w:p w14:paraId="1E60E5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2、申请人应将询价报价需要说明的其他事项，用文字书写与询价报价表一并报送。</w:t>
      </w:r>
    </w:p>
    <w:p w14:paraId="04EA45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3、本表需放在响应文件封面后第一页。</w:t>
      </w:r>
    </w:p>
    <w:p w14:paraId="31C2B2E5">
      <w:pPr>
        <w:pStyle w:val="3"/>
        <w:keepNext w:val="0"/>
        <w:widowControl w:val="0"/>
        <w:spacing w:before="0" w:after="0" w:line="520" w:lineRule="exact"/>
        <w:jc w:val="center"/>
        <w:rPr>
          <w:rFonts w:hint="eastAsia" w:ascii="宋体" w:hAnsi="宋体" w:eastAsia="宋体" w:cs="宋体"/>
          <w:b/>
          <w:bCs/>
          <w:color w:val="auto"/>
          <w:sz w:val="30"/>
          <w:szCs w:val="30"/>
          <w:highlight w:val="none"/>
          <w:lang w:val="en-US" w:eastAsia="zh-CN" w:bidi="ar-SA"/>
        </w:rPr>
      </w:pPr>
      <w:r>
        <w:rPr>
          <w:rFonts w:hint="eastAsia" w:ascii="宋体" w:hAnsi="宋体" w:eastAsia="宋体" w:cs="宋体"/>
          <w:color w:val="auto"/>
          <w:sz w:val="24"/>
          <w:szCs w:val="24"/>
          <w:highlight w:val="none"/>
        </w:rPr>
        <w:br w:type="page"/>
      </w:r>
      <w:bookmarkEnd w:id="207"/>
      <w:bookmarkEnd w:id="208"/>
      <w:bookmarkStart w:id="209" w:name="_Toc5885"/>
      <w:bookmarkStart w:id="210" w:name="_Toc350966310"/>
      <w:bookmarkStart w:id="211" w:name="_Toc332642501"/>
      <w:bookmarkStart w:id="212" w:name="_Toc16922"/>
      <w:bookmarkStart w:id="213" w:name="_Toc453086238"/>
      <w:bookmarkStart w:id="214" w:name="_Toc27163"/>
      <w:bookmarkStart w:id="215" w:name="_Toc432792990"/>
      <w:bookmarkStart w:id="216" w:name="_Toc393804754"/>
      <w:bookmarkStart w:id="217" w:name="_Toc429729046"/>
      <w:r>
        <w:rPr>
          <w:rFonts w:hint="eastAsia" w:ascii="宋体" w:hAnsi="宋体" w:eastAsia="宋体" w:cs="宋体"/>
          <w:b/>
          <w:bCs w:val="0"/>
          <w:color w:val="auto"/>
          <w:sz w:val="30"/>
          <w:szCs w:val="30"/>
          <w:highlight w:val="none"/>
          <w:lang w:val="en-US" w:eastAsia="zh-CN"/>
        </w:rPr>
        <w:t>（十二）承诺函</w:t>
      </w:r>
      <w:bookmarkEnd w:id="209"/>
      <w:bookmarkEnd w:id="210"/>
      <w:bookmarkEnd w:id="211"/>
      <w:bookmarkEnd w:id="212"/>
      <w:bookmarkEnd w:id="213"/>
    </w:p>
    <w:p w14:paraId="1AF488B0">
      <w:pPr>
        <w:wordWrap w:val="0"/>
        <w:spacing w:line="5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（采购人全称）</w:t>
      </w:r>
    </w:p>
    <w:p w14:paraId="742696F3">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1、我方经研究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项目询价文件，遵照法律法规等有关规定，我方愿以响应文件中的报价，并按询价文件的要求完成项目工作及后续服务，并承担任何审查责任。</w:t>
      </w:r>
    </w:p>
    <w:p w14:paraId="7AE4F110">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2、我方承诺报价不低于我们自身的成本。</w:t>
      </w:r>
    </w:p>
    <w:p w14:paraId="3E9F6E6C">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3、我方已详细审核全部询价文件，包括修改文件（如有时）及有关附件。</w:t>
      </w:r>
    </w:p>
    <w:p w14:paraId="30FE9351">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4、一旦我方成交，我方保证按合同协议书中规定的</w:t>
      </w:r>
      <w:r>
        <w:rPr>
          <w:rFonts w:hint="eastAsia" w:ascii="宋体" w:hAnsi="宋体" w:cs="宋体"/>
          <w:color w:val="auto"/>
          <w:sz w:val="24"/>
          <w:szCs w:val="24"/>
          <w:highlight w:val="none"/>
          <w:lang w:eastAsia="zh-CN"/>
        </w:rPr>
        <w:t>服务周期</w:t>
      </w:r>
      <w:r>
        <w:rPr>
          <w:rFonts w:hint="eastAsia" w:ascii="宋体" w:hAnsi="宋体" w:eastAsia="宋体" w:cs="宋体"/>
          <w:color w:val="auto"/>
          <w:sz w:val="24"/>
          <w:szCs w:val="24"/>
          <w:highlight w:val="none"/>
        </w:rPr>
        <w:t>、服务质量完成项目工作。</w:t>
      </w:r>
    </w:p>
    <w:p w14:paraId="47EFDBD5">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5、我方同意所提交的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文件在询价文件规定的有效期内有效，在此期间内如果成交，我方将受此约束。</w:t>
      </w:r>
    </w:p>
    <w:p w14:paraId="3EB1F702">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6、除非另外达成协议并生效，你方的询价文件、成交通知书和我方的响应文件将成为约束双方的合同文件的组成部分。</w:t>
      </w:r>
    </w:p>
    <w:p w14:paraId="156741CC">
      <w:pPr>
        <w:spacing w:line="520" w:lineRule="exact"/>
        <w:rPr>
          <w:rFonts w:hint="eastAsia" w:ascii="宋体" w:hAnsi="宋体" w:eastAsia="宋体" w:cs="宋体"/>
          <w:color w:val="auto"/>
          <w:sz w:val="24"/>
          <w:szCs w:val="24"/>
          <w:highlight w:val="none"/>
        </w:rPr>
      </w:pPr>
    </w:p>
    <w:p w14:paraId="5025EA3B">
      <w:pPr>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申请人（盖章）：</w:t>
      </w:r>
      <w:r>
        <w:rPr>
          <w:rFonts w:hint="eastAsia" w:ascii="宋体" w:hAnsi="宋体" w:eastAsia="宋体" w:cs="宋体"/>
          <w:color w:val="auto"/>
          <w:sz w:val="24"/>
          <w:szCs w:val="24"/>
          <w:highlight w:val="none"/>
          <w:u w:val="single"/>
        </w:rPr>
        <w:t xml:space="preserve">                </w:t>
      </w:r>
    </w:p>
    <w:p w14:paraId="73EAE93F">
      <w:pPr>
        <w:pStyle w:val="18"/>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法定代表人（合伙人）或委托代理人（签字或盖章）：</w:t>
      </w:r>
      <w:r>
        <w:rPr>
          <w:rFonts w:hint="eastAsia" w:ascii="宋体" w:hAnsi="宋体" w:eastAsia="宋体" w:cs="宋体"/>
          <w:color w:val="auto"/>
          <w:sz w:val="24"/>
          <w:szCs w:val="24"/>
          <w:highlight w:val="none"/>
          <w:u w:val="single"/>
        </w:rPr>
        <w:t xml:space="preserve">              </w:t>
      </w:r>
    </w:p>
    <w:p w14:paraId="5F8AD4C9">
      <w:pPr>
        <w:pStyle w:val="7"/>
        <w:spacing w:line="52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4B5D1B73">
      <w:pPr>
        <w:pStyle w:val="3"/>
        <w:numPr>
          <w:ilvl w:val="0"/>
          <w:numId w:val="0"/>
        </w:numPr>
        <w:spacing w:before="0" w:after="0" w:line="520" w:lineRule="exact"/>
        <w:jc w:val="center"/>
        <w:rPr>
          <w:rFonts w:hint="eastAsia" w:ascii="宋体" w:hAnsi="宋体" w:eastAsia="宋体" w:cs="宋体"/>
          <w:b/>
          <w:bCs w:val="0"/>
          <w:color w:val="auto"/>
          <w:sz w:val="30"/>
          <w:szCs w:val="30"/>
          <w:highlight w:val="none"/>
          <w:lang w:val="en-US" w:eastAsia="zh-CN"/>
        </w:rPr>
      </w:pPr>
      <w:bookmarkStart w:id="218" w:name="_Toc3775"/>
      <w:bookmarkStart w:id="219" w:name="_Toc14982"/>
      <w:r>
        <w:rPr>
          <w:rFonts w:hint="eastAsia" w:ascii="宋体" w:hAnsi="宋体" w:eastAsia="宋体" w:cs="宋体"/>
          <w:b w:val="0"/>
          <w:color w:val="auto"/>
          <w:sz w:val="30"/>
          <w:szCs w:val="30"/>
          <w:highlight w:val="none"/>
        </w:rPr>
        <w:br w:type="page"/>
      </w:r>
      <w:bookmarkStart w:id="220" w:name="_Toc28653"/>
      <w:r>
        <w:rPr>
          <w:rFonts w:hint="eastAsia" w:ascii="宋体" w:hAnsi="宋体" w:eastAsia="宋体" w:cs="宋体"/>
          <w:b/>
          <w:bCs/>
          <w:color w:val="auto"/>
          <w:sz w:val="30"/>
          <w:szCs w:val="30"/>
          <w:highlight w:val="none"/>
          <w:lang w:val="en-US" w:eastAsia="zh-CN" w:bidi="ar-SA"/>
        </w:rPr>
        <w:t>（十三）</w:t>
      </w:r>
      <w:r>
        <w:rPr>
          <w:rFonts w:hint="eastAsia" w:ascii="宋体" w:hAnsi="宋体" w:eastAsia="宋体" w:cs="宋体"/>
          <w:b/>
          <w:bCs w:val="0"/>
          <w:color w:val="auto"/>
          <w:sz w:val="30"/>
          <w:szCs w:val="30"/>
          <w:highlight w:val="none"/>
          <w:lang w:val="en-US" w:eastAsia="zh-CN"/>
        </w:rPr>
        <w:t>针对本项目拟提供的服务方案</w:t>
      </w:r>
      <w:bookmarkEnd w:id="220"/>
    </w:p>
    <w:p w14:paraId="49B40A53">
      <w:pPr>
        <w:numPr>
          <w:ilvl w:val="0"/>
          <w:numId w:val="0"/>
        </w:numPr>
        <w:spacing w:before="0" w:after="0" w:line="520" w:lineRule="exact"/>
        <w:jc w:val="center"/>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针对本项目拟为采购人提供的服务方案，如</w:t>
      </w:r>
      <w:r>
        <w:rPr>
          <w:rFonts w:hint="eastAsia" w:ascii="宋体" w:hAnsi="宋体" w:cs="宋体"/>
          <w:b w:val="0"/>
          <w:bCs/>
          <w:color w:val="auto"/>
          <w:sz w:val="24"/>
          <w:szCs w:val="24"/>
          <w:highlight w:val="none"/>
          <w:lang w:val="en-US" w:eastAsia="zh-CN"/>
        </w:rPr>
        <w:t>服务保障、质量保证及措施、售后服务</w:t>
      </w:r>
      <w:r>
        <w:rPr>
          <w:rFonts w:hint="eastAsia" w:ascii="宋体" w:hAnsi="宋体" w:eastAsia="宋体" w:cs="宋体"/>
          <w:b w:val="0"/>
          <w:bCs/>
          <w:color w:val="auto"/>
          <w:sz w:val="24"/>
          <w:szCs w:val="24"/>
          <w:highlight w:val="none"/>
          <w:lang w:val="en-US" w:eastAsia="zh-CN"/>
        </w:rPr>
        <w:t>、增值服务等</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有供应商自行填写</w:t>
      </w:r>
      <w:r>
        <w:rPr>
          <w:rFonts w:hint="eastAsia" w:ascii="宋体" w:hAnsi="宋体" w:eastAsia="宋体" w:cs="宋体"/>
          <w:b w:val="0"/>
          <w:bCs/>
          <w:color w:val="auto"/>
          <w:sz w:val="24"/>
          <w:szCs w:val="24"/>
          <w:highlight w:val="none"/>
        </w:rPr>
        <w:t>）</w:t>
      </w:r>
    </w:p>
    <w:p w14:paraId="73219108">
      <w:pPr>
        <w:numPr>
          <w:ilvl w:val="0"/>
          <w:numId w:val="0"/>
        </w:numPr>
        <w:spacing w:before="0" w:after="0" w:line="520" w:lineRule="exact"/>
        <w:jc w:val="center"/>
        <w:outlineLvl w:val="9"/>
        <w:rPr>
          <w:rFonts w:hint="eastAsia" w:ascii="宋体" w:hAnsi="宋体" w:eastAsia="宋体" w:cs="宋体"/>
          <w:b w:val="0"/>
          <w:bCs/>
          <w:color w:val="auto"/>
          <w:sz w:val="24"/>
          <w:szCs w:val="24"/>
          <w:highlight w:val="none"/>
        </w:rPr>
      </w:pPr>
    </w:p>
    <w:p w14:paraId="1716FD59">
      <w:pPr>
        <w:numPr>
          <w:ilvl w:val="0"/>
          <w:numId w:val="0"/>
        </w:numPr>
        <w:spacing w:before="0" w:after="0" w:line="520" w:lineRule="exact"/>
        <w:jc w:val="center"/>
        <w:outlineLvl w:val="1"/>
        <w:rPr>
          <w:rFonts w:hint="eastAsia" w:ascii="宋体" w:hAnsi="宋体" w:eastAsia="宋体" w:cs="宋体"/>
          <w:b/>
          <w:bCs w:val="0"/>
          <w:color w:val="auto"/>
          <w:sz w:val="30"/>
          <w:szCs w:val="30"/>
          <w:highlight w:val="none"/>
        </w:rPr>
      </w:pPr>
      <w:r>
        <w:rPr>
          <w:rFonts w:hint="eastAsia" w:ascii="宋体" w:hAnsi="宋体" w:eastAsia="宋体" w:cs="宋体"/>
          <w:b w:val="0"/>
          <w:bCs/>
          <w:color w:val="auto"/>
          <w:sz w:val="24"/>
          <w:szCs w:val="24"/>
          <w:highlight w:val="none"/>
        </w:rPr>
        <w:br w:type="page"/>
      </w:r>
      <w:bookmarkStart w:id="221" w:name="_Toc25893"/>
      <w:r>
        <w:rPr>
          <w:rFonts w:hint="eastAsia" w:ascii="宋体" w:hAnsi="宋体" w:eastAsia="宋体" w:cs="宋体"/>
          <w:b/>
          <w:bCs w:val="0"/>
          <w:color w:val="auto"/>
          <w:sz w:val="30"/>
          <w:szCs w:val="30"/>
          <w:highlight w:val="none"/>
        </w:rPr>
        <w:t>（十</w:t>
      </w:r>
      <w:r>
        <w:rPr>
          <w:rFonts w:hint="eastAsia" w:ascii="宋体" w:hAnsi="宋体" w:cs="宋体"/>
          <w:b/>
          <w:bCs w:val="0"/>
          <w:color w:val="auto"/>
          <w:sz w:val="30"/>
          <w:szCs w:val="30"/>
          <w:highlight w:val="none"/>
          <w:lang w:val="en-US" w:eastAsia="zh-CN"/>
        </w:rPr>
        <w:t>四</w:t>
      </w:r>
      <w:r>
        <w:rPr>
          <w:rFonts w:hint="eastAsia" w:ascii="宋体" w:hAnsi="宋体" w:eastAsia="宋体" w:cs="宋体"/>
          <w:b/>
          <w:bCs w:val="0"/>
          <w:color w:val="auto"/>
          <w:sz w:val="30"/>
          <w:szCs w:val="30"/>
          <w:highlight w:val="none"/>
        </w:rPr>
        <w:t>）申请人认为有必要提供的其他资料</w:t>
      </w:r>
      <w:bookmarkEnd w:id="214"/>
      <w:bookmarkEnd w:id="215"/>
      <w:bookmarkEnd w:id="216"/>
      <w:bookmarkEnd w:id="217"/>
      <w:bookmarkEnd w:id="218"/>
      <w:bookmarkEnd w:id="219"/>
      <w:bookmarkEnd w:id="221"/>
    </w:p>
    <w:p w14:paraId="72E3ABEA">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（1）与采购人存在利害关系可能影响</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公正性的法人、其他组织或个人，不得参与本项目</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（提供承诺函）。</w:t>
      </w:r>
    </w:p>
    <w:p w14:paraId="0EEB5360">
      <w:pPr>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（2）单位负责人为同一人或者存在控股、管理关系的不同单位，不得</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参加本项目的</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（提供声明函）。</w:t>
      </w:r>
    </w:p>
    <w:p w14:paraId="567C42CD">
      <w:pPr>
        <w:spacing w:line="520" w:lineRule="exact"/>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询价文件中要求提供的其他内容</w:t>
      </w:r>
    </w:p>
    <w:p w14:paraId="72801CD3">
      <w:pPr>
        <w:spacing w:line="520" w:lineRule="exact"/>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由申请人自行编写。</w:t>
      </w:r>
    </w:p>
    <w:sectPr>
      <w:footerReference r:id="rId4"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F61D2">
    <w:pPr>
      <w:pStyle w:val="15"/>
      <w:jc w:val="center"/>
    </w:pPr>
    <w:r>
      <w:fldChar w:fldCharType="begin"/>
    </w:r>
    <w:r>
      <w:instrText xml:space="preserve">PAGE   \* MERGEFORMAT</w:instrText>
    </w:r>
    <w:r>
      <w:fldChar w:fldCharType="separate"/>
    </w:r>
    <w:r>
      <w:rPr>
        <w:lang w:val="zh-CN"/>
      </w:rPr>
      <w:t>2</w:t>
    </w:r>
    <w:r>
      <w:fldChar w:fldCharType="end"/>
    </w:r>
  </w:p>
  <w:p w14:paraId="7406A1E1">
    <w:pPr>
      <w:tabs>
        <w:tab w:val="center" w:pos="4153"/>
        <w:tab w:val="right" w:pos="8306"/>
      </w:tabs>
      <w:snapToGrid w:val="0"/>
      <w:ind w:right="720"/>
      <w:rPr>
        <w:rFonts w:hint="eastAsia" w:eastAsia="宋体"/>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8C18">
    <w:pPr>
      <w:pStyle w:val="16"/>
      <w:jc w:val="distribute"/>
      <w:rPr>
        <w:rFonts w:hint="eastAsia"/>
      </w:rPr>
    </w:pPr>
    <w:r>
      <w:rPr>
        <w:rFonts w:hint="eastAsia"/>
        <w:lang w:eastAsia="zh-CN"/>
      </w:rPr>
      <w:t xml:space="preserve"> 昆明鑫安道路设施维护有限公司清算报告服务项目（四次）</w:t>
    </w:r>
    <w:r>
      <w:rPr>
        <w:rFonts w:hint="eastAsia"/>
      </w:rPr>
      <w:t xml:space="preserve"> </w:t>
    </w:r>
    <w:r>
      <w:t xml:space="preserve">      </w:t>
    </w:r>
    <w:r>
      <w:rPr>
        <w:rFonts w:hint="eastAsia"/>
        <w:lang w:val="en-US" w:eastAsia="zh-CN"/>
      </w:rPr>
      <w:t xml:space="preserve">            </w:t>
    </w:r>
    <w:r>
      <w:t xml:space="preserve"> </w:t>
    </w:r>
    <w:r>
      <w:rPr>
        <w:rFonts w:hint="eastAsia"/>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jRhYjM1MDUxYzlkMTVhYzE3MDdmMjg0NjFkMmIifQ=="/>
  </w:docVars>
  <w:rsids>
    <w:rsidRoot w:val="000F2ACC"/>
    <w:rsid w:val="00067C4E"/>
    <w:rsid w:val="0009680F"/>
    <w:rsid w:val="000D0485"/>
    <w:rsid w:val="000F2ACC"/>
    <w:rsid w:val="0012264B"/>
    <w:rsid w:val="00124F91"/>
    <w:rsid w:val="00126456"/>
    <w:rsid w:val="001A0DA1"/>
    <w:rsid w:val="001A52FE"/>
    <w:rsid w:val="001B0525"/>
    <w:rsid w:val="001B76FD"/>
    <w:rsid w:val="002456FC"/>
    <w:rsid w:val="002835A6"/>
    <w:rsid w:val="00301E4F"/>
    <w:rsid w:val="0037511C"/>
    <w:rsid w:val="003B1E08"/>
    <w:rsid w:val="004075AD"/>
    <w:rsid w:val="00413C38"/>
    <w:rsid w:val="004371DD"/>
    <w:rsid w:val="00564FBB"/>
    <w:rsid w:val="00580E76"/>
    <w:rsid w:val="00583352"/>
    <w:rsid w:val="005B00DE"/>
    <w:rsid w:val="005E7A88"/>
    <w:rsid w:val="00603407"/>
    <w:rsid w:val="006238DE"/>
    <w:rsid w:val="00692A16"/>
    <w:rsid w:val="007267E0"/>
    <w:rsid w:val="00746C8C"/>
    <w:rsid w:val="00773B8F"/>
    <w:rsid w:val="007A6534"/>
    <w:rsid w:val="007D41DB"/>
    <w:rsid w:val="007E1961"/>
    <w:rsid w:val="007F00B5"/>
    <w:rsid w:val="00811EF9"/>
    <w:rsid w:val="00881300"/>
    <w:rsid w:val="008912AD"/>
    <w:rsid w:val="008A4405"/>
    <w:rsid w:val="008F5071"/>
    <w:rsid w:val="0095394C"/>
    <w:rsid w:val="009822CE"/>
    <w:rsid w:val="00995F4D"/>
    <w:rsid w:val="009A246F"/>
    <w:rsid w:val="009A34E6"/>
    <w:rsid w:val="00A047DE"/>
    <w:rsid w:val="00A31029"/>
    <w:rsid w:val="00AA0F8F"/>
    <w:rsid w:val="00AA3EB7"/>
    <w:rsid w:val="00B34D5A"/>
    <w:rsid w:val="00BA059C"/>
    <w:rsid w:val="00BE32F3"/>
    <w:rsid w:val="00BF1597"/>
    <w:rsid w:val="00C46DCA"/>
    <w:rsid w:val="00C806C0"/>
    <w:rsid w:val="00CA5D57"/>
    <w:rsid w:val="00CF6503"/>
    <w:rsid w:val="00D57326"/>
    <w:rsid w:val="00DE6B77"/>
    <w:rsid w:val="00E23E46"/>
    <w:rsid w:val="00E5765E"/>
    <w:rsid w:val="00F50CDF"/>
    <w:rsid w:val="00FC04BC"/>
    <w:rsid w:val="012A427C"/>
    <w:rsid w:val="01483CD8"/>
    <w:rsid w:val="01933707"/>
    <w:rsid w:val="01AC4DAF"/>
    <w:rsid w:val="01D17056"/>
    <w:rsid w:val="02293D79"/>
    <w:rsid w:val="02594583"/>
    <w:rsid w:val="02A768F9"/>
    <w:rsid w:val="02C55958"/>
    <w:rsid w:val="02D10DD9"/>
    <w:rsid w:val="02D66B1D"/>
    <w:rsid w:val="031E5BB0"/>
    <w:rsid w:val="03455F4E"/>
    <w:rsid w:val="035C2D3F"/>
    <w:rsid w:val="036A66F5"/>
    <w:rsid w:val="041334A1"/>
    <w:rsid w:val="04261D2E"/>
    <w:rsid w:val="05832D77"/>
    <w:rsid w:val="05924D4E"/>
    <w:rsid w:val="05ED75E4"/>
    <w:rsid w:val="063866AA"/>
    <w:rsid w:val="066A0CD6"/>
    <w:rsid w:val="067204D8"/>
    <w:rsid w:val="0676641E"/>
    <w:rsid w:val="06A528D7"/>
    <w:rsid w:val="07500A1D"/>
    <w:rsid w:val="07511C0F"/>
    <w:rsid w:val="07B20D33"/>
    <w:rsid w:val="07B6124A"/>
    <w:rsid w:val="07D76D93"/>
    <w:rsid w:val="07E94F36"/>
    <w:rsid w:val="083154A3"/>
    <w:rsid w:val="08461F3A"/>
    <w:rsid w:val="08BA0DB2"/>
    <w:rsid w:val="08F16803"/>
    <w:rsid w:val="08FA1588"/>
    <w:rsid w:val="09380B49"/>
    <w:rsid w:val="09843770"/>
    <w:rsid w:val="09960649"/>
    <w:rsid w:val="09A323A3"/>
    <w:rsid w:val="09B72319"/>
    <w:rsid w:val="09EB191B"/>
    <w:rsid w:val="0A876657"/>
    <w:rsid w:val="0AFD66B1"/>
    <w:rsid w:val="0B276740"/>
    <w:rsid w:val="0BA411C7"/>
    <w:rsid w:val="0BD47831"/>
    <w:rsid w:val="0C0059BB"/>
    <w:rsid w:val="0CE01E16"/>
    <w:rsid w:val="0CFF437D"/>
    <w:rsid w:val="0D6200E2"/>
    <w:rsid w:val="0DD140FC"/>
    <w:rsid w:val="0DD40BF5"/>
    <w:rsid w:val="0DE03235"/>
    <w:rsid w:val="0DE620DB"/>
    <w:rsid w:val="0E697043"/>
    <w:rsid w:val="0E8B6CC1"/>
    <w:rsid w:val="0E9A48B0"/>
    <w:rsid w:val="0EBA133D"/>
    <w:rsid w:val="0EDB30FB"/>
    <w:rsid w:val="0F2E323E"/>
    <w:rsid w:val="11BE1F4B"/>
    <w:rsid w:val="11F8418B"/>
    <w:rsid w:val="122F28C3"/>
    <w:rsid w:val="12334F1A"/>
    <w:rsid w:val="12377978"/>
    <w:rsid w:val="12826542"/>
    <w:rsid w:val="131F3B91"/>
    <w:rsid w:val="13DB798B"/>
    <w:rsid w:val="13FA68E0"/>
    <w:rsid w:val="14A33021"/>
    <w:rsid w:val="15935B9C"/>
    <w:rsid w:val="15D373E9"/>
    <w:rsid w:val="15E83537"/>
    <w:rsid w:val="160B7FC6"/>
    <w:rsid w:val="164E2712"/>
    <w:rsid w:val="16917577"/>
    <w:rsid w:val="170D0C45"/>
    <w:rsid w:val="17415CB5"/>
    <w:rsid w:val="17645F1E"/>
    <w:rsid w:val="17D65F94"/>
    <w:rsid w:val="17EB5CF0"/>
    <w:rsid w:val="18043F0C"/>
    <w:rsid w:val="188D3129"/>
    <w:rsid w:val="18DD63E2"/>
    <w:rsid w:val="18F03E0E"/>
    <w:rsid w:val="196B16E7"/>
    <w:rsid w:val="19C30525"/>
    <w:rsid w:val="19D75EA2"/>
    <w:rsid w:val="1A411D6E"/>
    <w:rsid w:val="1A976B9C"/>
    <w:rsid w:val="1B183CE7"/>
    <w:rsid w:val="1B6634E2"/>
    <w:rsid w:val="1BC96F94"/>
    <w:rsid w:val="1C0B277E"/>
    <w:rsid w:val="1CB65AE5"/>
    <w:rsid w:val="1CCA37C0"/>
    <w:rsid w:val="1CE04199"/>
    <w:rsid w:val="1D714B3C"/>
    <w:rsid w:val="1DB77BDC"/>
    <w:rsid w:val="1DED2548"/>
    <w:rsid w:val="1E332792"/>
    <w:rsid w:val="1E5D3B6B"/>
    <w:rsid w:val="1F114BE0"/>
    <w:rsid w:val="1FB46D47"/>
    <w:rsid w:val="1FF75985"/>
    <w:rsid w:val="200E552B"/>
    <w:rsid w:val="201F5FB7"/>
    <w:rsid w:val="202B417A"/>
    <w:rsid w:val="205F59D0"/>
    <w:rsid w:val="2074495E"/>
    <w:rsid w:val="20E96958"/>
    <w:rsid w:val="20FA1CCE"/>
    <w:rsid w:val="212A0EC0"/>
    <w:rsid w:val="21516821"/>
    <w:rsid w:val="21CF45E9"/>
    <w:rsid w:val="21D4251F"/>
    <w:rsid w:val="21D97A24"/>
    <w:rsid w:val="21EA2BDE"/>
    <w:rsid w:val="22927101"/>
    <w:rsid w:val="22B22052"/>
    <w:rsid w:val="22B569E9"/>
    <w:rsid w:val="22B94599"/>
    <w:rsid w:val="22DD2DC8"/>
    <w:rsid w:val="23E17175"/>
    <w:rsid w:val="242B4894"/>
    <w:rsid w:val="24C03833"/>
    <w:rsid w:val="24C83E91"/>
    <w:rsid w:val="256242E5"/>
    <w:rsid w:val="257B0BB7"/>
    <w:rsid w:val="25995066"/>
    <w:rsid w:val="25E30EC8"/>
    <w:rsid w:val="260E28C7"/>
    <w:rsid w:val="2683046E"/>
    <w:rsid w:val="27743E5C"/>
    <w:rsid w:val="27973C19"/>
    <w:rsid w:val="27A56D15"/>
    <w:rsid w:val="27CD32B8"/>
    <w:rsid w:val="282B4E63"/>
    <w:rsid w:val="28742142"/>
    <w:rsid w:val="288864D2"/>
    <w:rsid w:val="28B932AE"/>
    <w:rsid w:val="28EB6042"/>
    <w:rsid w:val="28FE4325"/>
    <w:rsid w:val="29435513"/>
    <w:rsid w:val="29E36E57"/>
    <w:rsid w:val="2A195597"/>
    <w:rsid w:val="2A5210F2"/>
    <w:rsid w:val="2A557F75"/>
    <w:rsid w:val="2AF766C1"/>
    <w:rsid w:val="2BCE179A"/>
    <w:rsid w:val="2BCF6FF5"/>
    <w:rsid w:val="2C4E1120"/>
    <w:rsid w:val="2CAE7E64"/>
    <w:rsid w:val="2CD96526"/>
    <w:rsid w:val="2CDB04C7"/>
    <w:rsid w:val="2D7C3A6A"/>
    <w:rsid w:val="2D7D4AB5"/>
    <w:rsid w:val="2D894E28"/>
    <w:rsid w:val="2D9139BA"/>
    <w:rsid w:val="2DAB6A96"/>
    <w:rsid w:val="2DCE6A15"/>
    <w:rsid w:val="2DDB043C"/>
    <w:rsid w:val="2E527F84"/>
    <w:rsid w:val="2E6235CA"/>
    <w:rsid w:val="2E953036"/>
    <w:rsid w:val="2E9C1183"/>
    <w:rsid w:val="2F2D1B1A"/>
    <w:rsid w:val="2F440932"/>
    <w:rsid w:val="30301634"/>
    <w:rsid w:val="304560A2"/>
    <w:rsid w:val="30524977"/>
    <w:rsid w:val="308E11B4"/>
    <w:rsid w:val="30A02057"/>
    <w:rsid w:val="30EB5DC4"/>
    <w:rsid w:val="3173038C"/>
    <w:rsid w:val="318F2D88"/>
    <w:rsid w:val="31B163D9"/>
    <w:rsid w:val="31C825B9"/>
    <w:rsid w:val="31DF7699"/>
    <w:rsid w:val="320851CC"/>
    <w:rsid w:val="32094C09"/>
    <w:rsid w:val="32704876"/>
    <w:rsid w:val="32A71310"/>
    <w:rsid w:val="32AF240A"/>
    <w:rsid w:val="32C45F74"/>
    <w:rsid w:val="32D0575C"/>
    <w:rsid w:val="32D83E39"/>
    <w:rsid w:val="330E3889"/>
    <w:rsid w:val="336456CD"/>
    <w:rsid w:val="339C1FC5"/>
    <w:rsid w:val="33AA2BFA"/>
    <w:rsid w:val="33DB2299"/>
    <w:rsid w:val="34607C42"/>
    <w:rsid w:val="3462215E"/>
    <w:rsid w:val="34C05684"/>
    <w:rsid w:val="35401F9A"/>
    <w:rsid w:val="356236AB"/>
    <w:rsid w:val="35A70529"/>
    <w:rsid w:val="35D844ED"/>
    <w:rsid w:val="35D93B5E"/>
    <w:rsid w:val="360A6F11"/>
    <w:rsid w:val="364328CC"/>
    <w:rsid w:val="36C10F1B"/>
    <w:rsid w:val="375012EB"/>
    <w:rsid w:val="37BA1029"/>
    <w:rsid w:val="37D20E57"/>
    <w:rsid w:val="37E9332D"/>
    <w:rsid w:val="380C0D30"/>
    <w:rsid w:val="381507D3"/>
    <w:rsid w:val="381642B6"/>
    <w:rsid w:val="3882287D"/>
    <w:rsid w:val="38871C41"/>
    <w:rsid w:val="389D3AC4"/>
    <w:rsid w:val="390009E8"/>
    <w:rsid w:val="392C27E9"/>
    <w:rsid w:val="392E3968"/>
    <w:rsid w:val="39316051"/>
    <w:rsid w:val="39766C01"/>
    <w:rsid w:val="3A183750"/>
    <w:rsid w:val="3A40520F"/>
    <w:rsid w:val="3B4C71B1"/>
    <w:rsid w:val="3B7D732B"/>
    <w:rsid w:val="3BD477A8"/>
    <w:rsid w:val="3BDE5682"/>
    <w:rsid w:val="3CA64112"/>
    <w:rsid w:val="3CCC7178"/>
    <w:rsid w:val="3CEF0CBC"/>
    <w:rsid w:val="3D8070DE"/>
    <w:rsid w:val="3DC37028"/>
    <w:rsid w:val="3DEC0798"/>
    <w:rsid w:val="3E1F5CF0"/>
    <w:rsid w:val="3EB40D61"/>
    <w:rsid w:val="3EC21732"/>
    <w:rsid w:val="3ECB1E16"/>
    <w:rsid w:val="3F013AD6"/>
    <w:rsid w:val="3F0D3ABB"/>
    <w:rsid w:val="3F675E8A"/>
    <w:rsid w:val="3F855F44"/>
    <w:rsid w:val="3FC76A4F"/>
    <w:rsid w:val="405D3D18"/>
    <w:rsid w:val="40B316AF"/>
    <w:rsid w:val="41D37CA5"/>
    <w:rsid w:val="427126C4"/>
    <w:rsid w:val="42A00D54"/>
    <w:rsid w:val="42B539D8"/>
    <w:rsid w:val="436A5E16"/>
    <w:rsid w:val="43777737"/>
    <w:rsid w:val="43945EB1"/>
    <w:rsid w:val="439623F6"/>
    <w:rsid w:val="43C12CC8"/>
    <w:rsid w:val="445D41A3"/>
    <w:rsid w:val="44C86075"/>
    <w:rsid w:val="44E31F46"/>
    <w:rsid w:val="455A64BE"/>
    <w:rsid w:val="460A4F84"/>
    <w:rsid w:val="46303106"/>
    <w:rsid w:val="468B0AEE"/>
    <w:rsid w:val="46E62229"/>
    <w:rsid w:val="47024D70"/>
    <w:rsid w:val="47ED4774"/>
    <w:rsid w:val="48CF40AD"/>
    <w:rsid w:val="49843F7B"/>
    <w:rsid w:val="4A620BCC"/>
    <w:rsid w:val="4AA84CED"/>
    <w:rsid w:val="4AE923C2"/>
    <w:rsid w:val="4B3D45D6"/>
    <w:rsid w:val="4BA16325"/>
    <w:rsid w:val="4BEF1C55"/>
    <w:rsid w:val="4BF57251"/>
    <w:rsid w:val="4C872093"/>
    <w:rsid w:val="4CE04E7F"/>
    <w:rsid w:val="4DA150FB"/>
    <w:rsid w:val="4DC86B2C"/>
    <w:rsid w:val="4DD51249"/>
    <w:rsid w:val="4E22300C"/>
    <w:rsid w:val="4E7E7291"/>
    <w:rsid w:val="4E8D17F0"/>
    <w:rsid w:val="4EC7525C"/>
    <w:rsid w:val="4EFD1B23"/>
    <w:rsid w:val="500842F8"/>
    <w:rsid w:val="508036EE"/>
    <w:rsid w:val="50CB345B"/>
    <w:rsid w:val="51586419"/>
    <w:rsid w:val="51FE0D6E"/>
    <w:rsid w:val="526C571E"/>
    <w:rsid w:val="52734B8D"/>
    <w:rsid w:val="52BE3F76"/>
    <w:rsid w:val="52E87329"/>
    <w:rsid w:val="52E94933"/>
    <w:rsid w:val="53462538"/>
    <w:rsid w:val="53511372"/>
    <w:rsid w:val="539B18BD"/>
    <w:rsid w:val="53A14F28"/>
    <w:rsid w:val="53AC7CA3"/>
    <w:rsid w:val="5423774F"/>
    <w:rsid w:val="547728A8"/>
    <w:rsid w:val="547D1CF3"/>
    <w:rsid w:val="55000D52"/>
    <w:rsid w:val="55435C91"/>
    <w:rsid w:val="55C23E61"/>
    <w:rsid w:val="56076FA5"/>
    <w:rsid w:val="562377A2"/>
    <w:rsid w:val="567A40DB"/>
    <w:rsid w:val="57077F42"/>
    <w:rsid w:val="576B428C"/>
    <w:rsid w:val="57952B07"/>
    <w:rsid w:val="57D367F9"/>
    <w:rsid w:val="58597806"/>
    <w:rsid w:val="58A70824"/>
    <w:rsid w:val="5950405C"/>
    <w:rsid w:val="59975605"/>
    <w:rsid w:val="59A00F45"/>
    <w:rsid w:val="59A74D0D"/>
    <w:rsid w:val="59D8037F"/>
    <w:rsid w:val="5A1C5FBB"/>
    <w:rsid w:val="5A252C10"/>
    <w:rsid w:val="5AE139C8"/>
    <w:rsid w:val="5AED5164"/>
    <w:rsid w:val="5AFC3EA9"/>
    <w:rsid w:val="5B5B46E1"/>
    <w:rsid w:val="5B5E498E"/>
    <w:rsid w:val="5BF83710"/>
    <w:rsid w:val="5C403D31"/>
    <w:rsid w:val="5C5703CE"/>
    <w:rsid w:val="5C8460DD"/>
    <w:rsid w:val="5CB33AE8"/>
    <w:rsid w:val="5CC6692D"/>
    <w:rsid w:val="5D9B05C4"/>
    <w:rsid w:val="5D9F0F2C"/>
    <w:rsid w:val="5E26562D"/>
    <w:rsid w:val="5E4044BD"/>
    <w:rsid w:val="5E6A7EE2"/>
    <w:rsid w:val="5E856465"/>
    <w:rsid w:val="5F277EF1"/>
    <w:rsid w:val="5FCD6F4A"/>
    <w:rsid w:val="601A7127"/>
    <w:rsid w:val="603956F8"/>
    <w:rsid w:val="605E590D"/>
    <w:rsid w:val="60E07891"/>
    <w:rsid w:val="61061CA6"/>
    <w:rsid w:val="612504A2"/>
    <w:rsid w:val="612D5FD5"/>
    <w:rsid w:val="61777C21"/>
    <w:rsid w:val="61884754"/>
    <w:rsid w:val="6208709F"/>
    <w:rsid w:val="620D3E17"/>
    <w:rsid w:val="6274296F"/>
    <w:rsid w:val="62774225"/>
    <w:rsid w:val="62950183"/>
    <w:rsid w:val="62EC0617"/>
    <w:rsid w:val="63507F2C"/>
    <w:rsid w:val="63592687"/>
    <w:rsid w:val="63BB69ED"/>
    <w:rsid w:val="64247B8F"/>
    <w:rsid w:val="644A50CA"/>
    <w:rsid w:val="64A07127"/>
    <w:rsid w:val="64E94475"/>
    <w:rsid w:val="65111DF5"/>
    <w:rsid w:val="65165F77"/>
    <w:rsid w:val="65532D27"/>
    <w:rsid w:val="658A65EA"/>
    <w:rsid w:val="65D67D11"/>
    <w:rsid w:val="65FE6F91"/>
    <w:rsid w:val="66080DAD"/>
    <w:rsid w:val="66474B69"/>
    <w:rsid w:val="66DB0236"/>
    <w:rsid w:val="66E0683D"/>
    <w:rsid w:val="66EC0426"/>
    <w:rsid w:val="67AF6E97"/>
    <w:rsid w:val="68543335"/>
    <w:rsid w:val="685F21E6"/>
    <w:rsid w:val="68F473D8"/>
    <w:rsid w:val="69B84E33"/>
    <w:rsid w:val="6A077A97"/>
    <w:rsid w:val="6A164EFA"/>
    <w:rsid w:val="6AC200B9"/>
    <w:rsid w:val="6AE15471"/>
    <w:rsid w:val="6B1E71EA"/>
    <w:rsid w:val="6B2B0AAB"/>
    <w:rsid w:val="6B550ACD"/>
    <w:rsid w:val="6B637512"/>
    <w:rsid w:val="6B7A6F58"/>
    <w:rsid w:val="6B9F14E1"/>
    <w:rsid w:val="6BF30346"/>
    <w:rsid w:val="6C5C275E"/>
    <w:rsid w:val="6C8C321B"/>
    <w:rsid w:val="6CB64055"/>
    <w:rsid w:val="6CFB2D22"/>
    <w:rsid w:val="6D054FFE"/>
    <w:rsid w:val="6D0A66B5"/>
    <w:rsid w:val="6D4E5F0C"/>
    <w:rsid w:val="6D9C677C"/>
    <w:rsid w:val="6E7B7736"/>
    <w:rsid w:val="6EC66318"/>
    <w:rsid w:val="6EDF73DA"/>
    <w:rsid w:val="6F3B4618"/>
    <w:rsid w:val="70426D9D"/>
    <w:rsid w:val="707F16A6"/>
    <w:rsid w:val="70B34FC2"/>
    <w:rsid w:val="70C54048"/>
    <w:rsid w:val="715D66D8"/>
    <w:rsid w:val="7175622A"/>
    <w:rsid w:val="71D54169"/>
    <w:rsid w:val="71EA47D4"/>
    <w:rsid w:val="71F92EA9"/>
    <w:rsid w:val="72430486"/>
    <w:rsid w:val="726334C1"/>
    <w:rsid w:val="726E0B78"/>
    <w:rsid w:val="727E095A"/>
    <w:rsid w:val="72B5026A"/>
    <w:rsid w:val="734A55BE"/>
    <w:rsid w:val="736B66A6"/>
    <w:rsid w:val="73732C36"/>
    <w:rsid w:val="739015EB"/>
    <w:rsid w:val="73C6605E"/>
    <w:rsid w:val="73E13467"/>
    <w:rsid w:val="73F21FBF"/>
    <w:rsid w:val="74230EAD"/>
    <w:rsid w:val="742869B8"/>
    <w:rsid w:val="744C5512"/>
    <w:rsid w:val="748B66ED"/>
    <w:rsid w:val="75005738"/>
    <w:rsid w:val="75575BF9"/>
    <w:rsid w:val="75CA033B"/>
    <w:rsid w:val="75E35A02"/>
    <w:rsid w:val="76360227"/>
    <w:rsid w:val="768C589F"/>
    <w:rsid w:val="7696744A"/>
    <w:rsid w:val="774A0D3B"/>
    <w:rsid w:val="77671DAF"/>
    <w:rsid w:val="77DB1421"/>
    <w:rsid w:val="7806466D"/>
    <w:rsid w:val="78547507"/>
    <w:rsid w:val="7864051F"/>
    <w:rsid w:val="78981CAA"/>
    <w:rsid w:val="78EE1F91"/>
    <w:rsid w:val="796A392F"/>
    <w:rsid w:val="796E7C6C"/>
    <w:rsid w:val="798B570C"/>
    <w:rsid w:val="799D67FC"/>
    <w:rsid w:val="79A213B8"/>
    <w:rsid w:val="79C93160"/>
    <w:rsid w:val="79D06EC6"/>
    <w:rsid w:val="79DB0DE7"/>
    <w:rsid w:val="7AA976E3"/>
    <w:rsid w:val="7AEF3C18"/>
    <w:rsid w:val="7B22521E"/>
    <w:rsid w:val="7B445527"/>
    <w:rsid w:val="7B9B0B2D"/>
    <w:rsid w:val="7C0B3F13"/>
    <w:rsid w:val="7C4676EA"/>
    <w:rsid w:val="7C940D06"/>
    <w:rsid w:val="7C951D7B"/>
    <w:rsid w:val="7CBE156D"/>
    <w:rsid w:val="7CDB2A18"/>
    <w:rsid w:val="7CF023C4"/>
    <w:rsid w:val="7CFA1AEA"/>
    <w:rsid w:val="7D042041"/>
    <w:rsid w:val="7D1961AD"/>
    <w:rsid w:val="7D347446"/>
    <w:rsid w:val="7D5120B8"/>
    <w:rsid w:val="7DAF6922"/>
    <w:rsid w:val="7DBE3D05"/>
    <w:rsid w:val="7DD60DEA"/>
    <w:rsid w:val="7E133718"/>
    <w:rsid w:val="7E2E34EE"/>
    <w:rsid w:val="7EBC763F"/>
    <w:rsid w:val="7F34450C"/>
    <w:rsid w:val="7F9A3E5A"/>
    <w:rsid w:val="7FF13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9"/>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autoRedefine/>
    <w:qFormat/>
    <w:uiPriority w:val="9"/>
    <w:pPr>
      <w:keepNext/>
      <w:keepLines/>
      <w:spacing w:before="280" w:after="290" w:line="374" w:lineRule="auto"/>
      <w:outlineLvl w:val="4"/>
    </w:pPr>
    <w:rPr>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420"/>
    </w:pPr>
  </w:style>
  <w:style w:type="paragraph" w:styleId="8">
    <w:name w:val="Document Map"/>
    <w:basedOn w:val="1"/>
    <w:link w:val="32"/>
    <w:autoRedefine/>
    <w:qFormat/>
    <w:uiPriority w:val="0"/>
    <w:rPr>
      <w:rFonts w:ascii="宋体"/>
      <w:sz w:val="18"/>
      <w:szCs w:val="18"/>
    </w:rPr>
  </w:style>
  <w:style w:type="paragraph" w:styleId="9">
    <w:name w:val="annotation text"/>
    <w:basedOn w:val="1"/>
    <w:link w:val="33"/>
    <w:autoRedefine/>
    <w:qFormat/>
    <w:uiPriority w:val="0"/>
    <w:pPr>
      <w:jc w:val="left"/>
    </w:pPr>
  </w:style>
  <w:style w:type="paragraph" w:styleId="10">
    <w:name w:val="Body Text"/>
    <w:basedOn w:val="1"/>
    <w:next w:val="1"/>
    <w:link w:val="34"/>
    <w:autoRedefine/>
    <w:qFormat/>
    <w:uiPriority w:val="0"/>
    <w:pPr>
      <w:spacing w:after="120"/>
    </w:pPr>
    <w:rPr>
      <w:szCs w:val="24"/>
    </w:rPr>
  </w:style>
  <w:style w:type="paragraph" w:styleId="11">
    <w:name w:val="Body Text Indent"/>
    <w:basedOn w:val="1"/>
    <w:autoRedefine/>
    <w:qFormat/>
    <w:uiPriority w:val="99"/>
    <w:pPr>
      <w:widowControl/>
      <w:spacing w:after="120"/>
      <w:ind w:left="200" w:leftChars="200"/>
      <w:jc w:val="left"/>
    </w:pPr>
    <w:rPr>
      <w:rFonts w:ascii="Times New Roman" w:hAnsi="Times New Roman"/>
      <w:kern w:val="0"/>
      <w:sz w:val="20"/>
      <w:szCs w:val="20"/>
    </w:rPr>
  </w:style>
  <w:style w:type="paragraph" w:styleId="12">
    <w:name w:val="Block Text"/>
    <w:basedOn w:val="1"/>
    <w:autoRedefine/>
    <w:qFormat/>
    <w:uiPriority w:val="0"/>
    <w:pPr>
      <w:widowControl/>
      <w:spacing w:after="120"/>
      <w:ind w:left="1440" w:leftChars="700" w:right="1440" w:rightChars="700"/>
      <w:jc w:val="left"/>
    </w:pPr>
    <w:rPr>
      <w:rFonts w:ascii="Times New Roman" w:hAnsi="Times New Roman"/>
      <w:kern w:val="0"/>
      <w:sz w:val="20"/>
      <w:szCs w:val="20"/>
    </w:rPr>
  </w:style>
  <w:style w:type="paragraph" w:styleId="13">
    <w:name w:val="Plain Text"/>
    <w:basedOn w:val="1"/>
    <w:next w:val="1"/>
    <w:qFormat/>
    <w:uiPriority w:val="0"/>
    <w:pPr>
      <w:widowControl w:val="0"/>
      <w:jc w:val="both"/>
    </w:pPr>
    <w:rPr>
      <w:rFonts w:ascii="宋体" w:hAnsi="Courier New" w:cs="Courier New"/>
      <w:kern w:val="2"/>
      <w:sz w:val="21"/>
      <w:szCs w:val="21"/>
    </w:rPr>
  </w:style>
  <w:style w:type="paragraph" w:styleId="14">
    <w:name w:val="Balloon Text"/>
    <w:basedOn w:val="1"/>
    <w:link w:val="35"/>
    <w:autoRedefine/>
    <w:qFormat/>
    <w:uiPriority w:val="0"/>
    <w:rPr>
      <w:sz w:val="18"/>
      <w:szCs w:val="18"/>
    </w:rPr>
  </w:style>
  <w:style w:type="paragraph" w:styleId="15">
    <w:name w:val="footer"/>
    <w:basedOn w:val="1"/>
    <w:link w:val="36"/>
    <w:autoRedefine/>
    <w:qFormat/>
    <w:uiPriority w:val="99"/>
    <w:pPr>
      <w:tabs>
        <w:tab w:val="center" w:pos="4153"/>
        <w:tab w:val="right" w:pos="8306"/>
      </w:tabs>
      <w:snapToGrid w:val="0"/>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autoRedefine/>
    <w:semiHidden/>
    <w:qFormat/>
    <w:uiPriority w:val="0"/>
    <w:pPr>
      <w:widowControl w:val="0"/>
      <w:adjustRightInd w:val="0"/>
      <w:spacing w:line="312" w:lineRule="atLeast"/>
      <w:textAlignment w:val="baseline"/>
    </w:pPr>
    <w:rPr>
      <w:sz w:val="18"/>
    </w:rPr>
  </w:style>
  <w:style w:type="paragraph" w:styleId="19">
    <w:name w:val="toc 2"/>
    <w:basedOn w:val="1"/>
    <w:next w:val="1"/>
    <w:autoRedefine/>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Arial" w:hAnsi="Arial" w:cs="Arial"/>
      <w:kern w:val="0"/>
      <w:sz w:val="15"/>
      <w:szCs w:val="15"/>
    </w:rPr>
  </w:style>
  <w:style w:type="paragraph" w:styleId="21">
    <w:name w:val="Title"/>
    <w:basedOn w:val="1"/>
    <w:next w:val="1"/>
    <w:autoRedefine/>
    <w:qFormat/>
    <w:uiPriority w:val="0"/>
    <w:pPr>
      <w:spacing w:before="240" w:after="60"/>
      <w:jc w:val="left"/>
      <w:outlineLvl w:val="0"/>
    </w:pPr>
    <w:rPr>
      <w:rFonts w:ascii="Cambria" w:hAnsi="Cambria"/>
      <w:b/>
      <w:bCs/>
      <w:kern w:val="0"/>
      <w:sz w:val="28"/>
      <w:szCs w:val="28"/>
    </w:rPr>
  </w:style>
  <w:style w:type="paragraph" w:styleId="22">
    <w:name w:val="annotation subject"/>
    <w:basedOn w:val="9"/>
    <w:next w:val="9"/>
    <w:link w:val="37"/>
    <w:autoRedefine/>
    <w:qFormat/>
    <w:uiPriority w:val="0"/>
    <w:rPr>
      <w:b/>
      <w:bCs/>
    </w:rPr>
  </w:style>
  <w:style w:type="paragraph" w:styleId="23">
    <w:name w:val="Body Text First Indent"/>
    <w:basedOn w:val="10"/>
    <w:next w:val="1"/>
    <w:link w:val="38"/>
    <w:autoRedefine/>
    <w:unhideWhenUsed/>
    <w:qFormat/>
    <w:uiPriority w:val="0"/>
    <w:pPr>
      <w:widowControl w:val="0"/>
      <w:ind w:firstLine="420" w:firstLineChars="100"/>
      <w:jc w:val="both"/>
    </w:pPr>
    <w:rPr>
      <w:rFonts w:ascii="Calibri" w:hAnsi="Calibri"/>
      <w:kern w:val="2"/>
      <w:sz w:val="21"/>
      <w:szCs w:val="22"/>
    </w:rPr>
  </w:style>
  <w:style w:type="paragraph" w:styleId="24">
    <w:name w:val="Body Text First Indent 2"/>
    <w:basedOn w:val="11"/>
    <w:next w:val="23"/>
    <w:autoRedefine/>
    <w:qFormat/>
    <w:uiPriority w:val="0"/>
    <w:pPr>
      <w:widowControl/>
      <w:tabs>
        <w:tab w:val="left" w:pos="3996"/>
      </w:tabs>
      <w:spacing w:after="120" w:line="240" w:lineRule="auto"/>
      <w:ind w:left="420" w:leftChars="200" w:firstLine="420" w:firstLineChars="200"/>
      <w:jc w:val="left"/>
    </w:pPr>
    <w:rPr>
      <w:rFonts w:ascii="Times New Roman"/>
      <w:sz w:val="20"/>
      <w:szCs w:val="20"/>
    </w:rPr>
  </w:style>
  <w:style w:type="table" w:styleId="26">
    <w:name w:val="Table Grid"/>
    <w:basedOn w:val="25"/>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Hyperlink"/>
    <w:autoRedefine/>
    <w:unhideWhenUsed/>
    <w:qFormat/>
    <w:uiPriority w:val="99"/>
    <w:rPr>
      <w:color w:val="0563C1"/>
      <w:u w:val="single"/>
    </w:rPr>
  </w:style>
  <w:style w:type="character" w:styleId="30">
    <w:name w:val="annotation reference"/>
    <w:autoRedefine/>
    <w:qFormat/>
    <w:uiPriority w:val="0"/>
    <w:rPr>
      <w:sz w:val="21"/>
      <w:szCs w:val="21"/>
    </w:rPr>
  </w:style>
  <w:style w:type="character" w:customStyle="1" w:styleId="31">
    <w:name w:val="标题 3 Char"/>
    <w:basedOn w:val="27"/>
    <w:link w:val="4"/>
    <w:autoRedefine/>
    <w:qFormat/>
    <w:uiPriority w:val="9"/>
    <w:rPr>
      <w:b/>
      <w:bCs/>
      <w:sz w:val="32"/>
      <w:szCs w:val="32"/>
    </w:rPr>
  </w:style>
  <w:style w:type="character" w:customStyle="1" w:styleId="32">
    <w:name w:val="文档结构图 字符"/>
    <w:link w:val="8"/>
    <w:autoRedefine/>
    <w:qFormat/>
    <w:uiPriority w:val="0"/>
    <w:rPr>
      <w:rFonts w:ascii="宋体"/>
      <w:sz w:val="18"/>
      <w:szCs w:val="18"/>
    </w:rPr>
  </w:style>
  <w:style w:type="character" w:customStyle="1" w:styleId="33">
    <w:name w:val="批注文字 字符"/>
    <w:link w:val="9"/>
    <w:autoRedefine/>
    <w:qFormat/>
    <w:uiPriority w:val="0"/>
  </w:style>
  <w:style w:type="character" w:customStyle="1" w:styleId="34">
    <w:name w:val="正文文本 字符"/>
    <w:link w:val="10"/>
    <w:autoRedefine/>
    <w:qFormat/>
    <w:uiPriority w:val="0"/>
    <w:rPr>
      <w:szCs w:val="24"/>
    </w:rPr>
  </w:style>
  <w:style w:type="character" w:customStyle="1" w:styleId="35">
    <w:name w:val="批注框文本 字符"/>
    <w:link w:val="14"/>
    <w:autoRedefine/>
    <w:qFormat/>
    <w:uiPriority w:val="0"/>
    <w:rPr>
      <w:sz w:val="18"/>
      <w:szCs w:val="18"/>
    </w:rPr>
  </w:style>
  <w:style w:type="character" w:customStyle="1" w:styleId="36">
    <w:name w:val="页脚 字符"/>
    <w:link w:val="15"/>
    <w:autoRedefine/>
    <w:qFormat/>
    <w:uiPriority w:val="99"/>
    <w:rPr>
      <w:sz w:val="18"/>
      <w:szCs w:val="18"/>
    </w:rPr>
  </w:style>
  <w:style w:type="character" w:customStyle="1" w:styleId="37">
    <w:name w:val="批注主题 字符"/>
    <w:link w:val="22"/>
    <w:autoRedefine/>
    <w:qFormat/>
    <w:uiPriority w:val="0"/>
    <w:rPr>
      <w:b/>
      <w:bCs/>
    </w:rPr>
  </w:style>
  <w:style w:type="character" w:customStyle="1" w:styleId="38">
    <w:name w:val="正文文本首行缩进 字符"/>
    <w:link w:val="23"/>
    <w:autoRedefine/>
    <w:qFormat/>
    <w:uiPriority w:val="0"/>
    <w:rPr>
      <w:rFonts w:ascii="Calibri" w:hAnsi="Calibri"/>
      <w:kern w:val="2"/>
      <w:sz w:val="21"/>
      <w:szCs w:val="22"/>
    </w:rPr>
  </w:style>
  <w:style w:type="paragraph" w:customStyle="1" w:styleId="39">
    <w:name w:val="正文首行缩进 221"/>
    <w:basedOn w:val="11"/>
    <w:autoRedefine/>
    <w:unhideWhenUsed/>
    <w:qFormat/>
    <w:uiPriority w:val="0"/>
    <w:pPr>
      <w:widowControl w:val="0"/>
      <w:ind w:left="420" w:firstLine="420" w:firstLineChars="200"/>
      <w:jc w:val="both"/>
    </w:pPr>
    <w:rPr>
      <w:color w:val="000000"/>
      <w:kern w:val="2"/>
      <w:sz w:val="21"/>
      <w:szCs w:val="24"/>
    </w:rPr>
  </w:style>
  <w:style w:type="paragraph" w:customStyle="1" w:styleId="40">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41">
    <w:name w:val="样式 标题 3 + (中文) 黑体 小四 非加粗 段前: 7.8 磅 段后: 0 磅 行距: 固定值 20 磅"/>
    <w:basedOn w:val="4"/>
    <w:autoRedefine/>
    <w:qFormat/>
    <w:uiPriority w:val="0"/>
    <w:pPr>
      <w:widowControl w:val="0"/>
      <w:spacing w:before="0" w:after="0" w:line="400" w:lineRule="exact"/>
      <w:jc w:val="both"/>
    </w:pPr>
    <w:rPr>
      <w:rFonts w:eastAsia="黑体" w:cs="宋体"/>
      <w:b w:val="0"/>
      <w:bCs w:val="0"/>
      <w:kern w:val="2"/>
      <w:sz w:val="24"/>
      <w:szCs w:val="20"/>
    </w:rPr>
  </w:style>
  <w:style w:type="paragraph" w:customStyle="1" w:styleId="42">
    <w:name w:val="WPSOffice手动目录 1"/>
    <w:autoRedefine/>
    <w:qFormat/>
    <w:uiPriority w:val="0"/>
    <w:rPr>
      <w:rFonts w:ascii="Times New Roman" w:hAnsi="Times New Roman" w:eastAsia="宋体" w:cs="Times New Roman"/>
      <w:lang w:val="en-US" w:eastAsia="zh-CN" w:bidi="ar-SA"/>
    </w:rPr>
  </w:style>
  <w:style w:type="paragraph" w:customStyle="1" w:styleId="4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7"/>
      <w:szCs w:val="17"/>
      <w:lang w:eastAsia="en-US"/>
    </w:rPr>
  </w:style>
  <w:style w:type="character" w:customStyle="1" w:styleId="45">
    <w:name w:val="grame"/>
    <w:basedOn w:val="27"/>
    <w:autoRedefine/>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35</Pages>
  <Words>12792</Words>
  <Characters>13447</Characters>
  <Lines>148</Lines>
  <Paragraphs>41</Paragraphs>
  <TotalTime>5</TotalTime>
  <ScaleCrop>false</ScaleCrop>
  <LinksUpToDate>false</LinksUpToDate>
  <CharactersWithSpaces>14846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2022-04-11T02:35:00Z</dcterms:created>
  <dc:creator>user</dc:creator>
  <cp:lastModifiedBy>JC1111</cp:lastModifiedBy>
  <cp:lastPrinted>2022-05-16T08:44:00Z</cp:lastPrinted>
  <dcterms:modified xsi:type="dcterms:W3CDTF">2025-09-15T05:51:42Z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29258669C5D443FDB527700AC525F4A1_13</vt:lpwstr>
  </property>
  <property fmtid="{D5CDD505-2E9C-101B-9397-08002B2CF9AE}" pid="4" name="KSOTemplateDocerSaveRecord">
    <vt:lpwstr>eyJoZGlkIjoiMzEwYjUyNzIzZTgzNDEyNjFmYTlhN2MzMDNiMDY2NTgiLCJ1c2VySWQiOiIyMzE2NDQ4MDgifQ==</vt:lpwstr>
  </property>
</Properties>
</file>